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E9A" w:rsidRPr="000121D2" w:rsidRDefault="00EA5E9A" w:rsidP="006D6CFE">
      <w:r w:rsidRPr="000121D2">
        <w:t>Na temelju članka 68. stavka 3. Zakona o zaštiti okoliša (</w:t>
      </w:r>
      <w:r w:rsidR="00983D85" w:rsidRPr="000121D2">
        <w:t>„</w:t>
      </w:r>
      <w:r w:rsidRPr="000121D2">
        <w:t>Narodne novine</w:t>
      </w:r>
      <w:r w:rsidR="00983D85" w:rsidRPr="000121D2">
        <w:t>“</w:t>
      </w:r>
      <w:r w:rsidRPr="000121D2">
        <w:t xml:space="preserve"> broj 80/13</w:t>
      </w:r>
      <w:r w:rsidR="009A25A4">
        <w:t xml:space="preserve">, </w:t>
      </w:r>
      <w:r w:rsidRPr="000121D2">
        <w:t>153/13</w:t>
      </w:r>
      <w:r w:rsidR="009A25A4">
        <w:t>, 78/15</w:t>
      </w:r>
      <w:r w:rsidR="00532D62">
        <w:t>,</w:t>
      </w:r>
      <w:r w:rsidR="009A25A4">
        <w:t xml:space="preserve"> 12/18</w:t>
      </w:r>
      <w:r w:rsidR="00532D62">
        <w:t xml:space="preserve"> i 118/18</w:t>
      </w:r>
      <w:r w:rsidR="00305B76" w:rsidRPr="000121D2">
        <w:t>, u daljnjem tekstu Zakon</w:t>
      </w:r>
      <w:r w:rsidRPr="000121D2">
        <w:t>)</w:t>
      </w:r>
      <w:r w:rsidR="00532D62">
        <w:t>,</w:t>
      </w:r>
      <w:r w:rsidRPr="000121D2">
        <w:t xml:space="preserve"> član</w:t>
      </w:r>
      <w:r w:rsidR="00EF0D3A">
        <w:t>a</w:t>
      </w:r>
      <w:r w:rsidRPr="000121D2">
        <w:t>ka 1</w:t>
      </w:r>
      <w:r w:rsidR="00EF0D3A">
        <w:t>0</w:t>
      </w:r>
      <w:r w:rsidR="00833F99" w:rsidRPr="000121D2">
        <w:t>.</w:t>
      </w:r>
      <w:r w:rsidRPr="000121D2">
        <w:t xml:space="preserve"> </w:t>
      </w:r>
      <w:r w:rsidR="00EF0D3A">
        <w:t xml:space="preserve"> i 11. </w:t>
      </w:r>
      <w:r w:rsidRPr="000121D2">
        <w:t>Uredbe o strateškoj procjeni utjecaja strategije, plana i programa na okoliš (</w:t>
      </w:r>
      <w:r w:rsidR="00983D85" w:rsidRPr="000121D2">
        <w:t>„</w:t>
      </w:r>
      <w:r w:rsidRPr="000121D2">
        <w:t>Narodne novine</w:t>
      </w:r>
      <w:r w:rsidR="00983D85" w:rsidRPr="000121D2">
        <w:t>“</w:t>
      </w:r>
      <w:r w:rsidRPr="000121D2">
        <w:t xml:space="preserve"> broj </w:t>
      </w:r>
      <w:r w:rsidR="00833F99" w:rsidRPr="000121D2">
        <w:t>03/17</w:t>
      </w:r>
      <w:r w:rsidR="00305B76" w:rsidRPr="000121D2">
        <w:t>, u daljnjem tekstu Uredba</w:t>
      </w:r>
      <w:r w:rsidRPr="000121D2">
        <w:t xml:space="preserve">) </w:t>
      </w:r>
      <w:r w:rsidR="009A6350">
        <w:t>i članka 4</w:t>
      </w:r>
      <w:r w:rsidR="00532D62">
        <w:t>9</w:t>
      </w:r>
      <w:r w:rsidR="009A6350">
        <w:t xml:space="preserve">. Statuta </w:t>
      </w:r>
      <w:r w:rsidR="000E3AA8">
        <w:t xml:space="preserve">Grada </w:t>
      </w:r>
      <w:r w:rsidR="00532D62">
        <w:t>Makarske</w:t>
      </w:r>
      <w:r w:rsidR="009A6350">
        <w:t xml:space="preserve"> („</w:t>
      </w:r>
      <w:r w:rsidR="003408FC">
        <w:t>G</w:t>
      </w:r>
      <w:r w:rsidR="009A6350">
        <w:t xml:space="preserve">lasnik </w:t>
      </w:r>
      <w:r w:rsidR="000E3AA8">
        <w:t xml:space="preserve">Grada </w:t>
      </w:r>
      <w:r w:rsidR="00532D62">
        <w:t>Makarske“, broj 8/18 i 14/18</w:t>
      </w:r>
      <w:r w:rsidR="009A6350">
        <w:t xml:space="preserve">) </w:t>
      </w:r>
      <w:r w:rsidR="000E3AA8">
        <w:t>Gradonačelnik</w:t>
      </w:r>
      <w:r w:rsidR="009A6350">
        <w:t xml:space="preserve"> </w:t>
      </w:r>
      <w:r w:rsidR="000E3AA8">
        <w:t xml:space="preserve">Grada </w:t>
      </w:r>
      <w:r w:rsidR="00532D62">
        <w:t>Makarske</w:t>
      </w:r>
      <w:r w:rsidR="00E20488">
        <w:t xml:space="preserve">, dana </w:t>
      </w:r>
      <w:r w:rsidR="00C45254">
        <w:t>28.</w:t>
      </w:r>
      <w:r w:rsidR="00E20488">
        <w:t xml:space="preserve"> </w:t>
      </w:r>
      <w:r w:rsidR="00C45254">
        <w:t>kolovoza</w:t>
      </w:r>
      <w:r w:rsidR="00E20488">
        <w:t xml:space="preserve"> 2019. godine,</w:t>
      </w:r>
      <w:r w:rsidR="009A6350">
        <w:t xml:space="preserve"> donosi </w:t>
      </w:r>
    </w:p>
    <w:p w:rsidR="000121D2" w:rsidRPr="000121D2" w:rsidRDefault="000121D2" w:rsidP="006D6CFE"/>
    <w:p w:rsidR="00EA5E9A" w:rsidRPr="000121D2" w:rsidRDefault="00EA5E9A" w:rsidP="00EA5E9A">
      <w:pPr>
        <w:jc w:val="center"/>
        <w:rPr>
          <w:b/>
        </w:rPr>
      </w:pPr>
      <w:r w:rsidRPr="000121D2">
        <w:rPr>
          <w:b/>
        </w:rPr>
        <w:t>ODLUKU</w:t>
      </w:r>
    </w:p>
    <w:p w:rsidR="00EA5E9A" w:rsidRPr="000121D2" w:rsidRDefault="008B6E55" w:rsidP="00EA5E9A">
      <w:pPr>
        <w:jc w:val="center"/>
        <w:rPr>
          <w:b/>
        </w:rPr>
      </w:pPr>
      <w:r w:rsidRPr="000121D2">
        <w:rPr>
          <w:b/>
        </w:rPr>
        <w:t>o sadržaju studije</w:t>
      </w:r>
      <w:r w:rsidR="009A6350">
        <w:rPr>
          <w:b/>
        </w:rPr>
        <w:t xml:space="preserve"> </w:t>
      </w:r>
      <w:r w:rsidR="009A25A4">
        <w:rPr>
          <w:b/>
        </w:rPr>
        <w:t xml:space="preserve">strateške </w:t>
      </w:r>
      <w:r w:rsidR="009A6350">
        <w:rPr>
          <w:b/>
        </w:rPr>
        <w:t>procjene</w:t>
      </w:r>
      <w:r w:rsidRPr="000121D2">
        <w:rPr>
          <w:b/>
        </w:rPr>
        <w:t xml:space="preserve"> utjecaja na okoliš </w:t>
      </w:r>
      <w:r w:rsidR="00532D62" w:rsidRPr="00532D62">
        <w:rPr>
          <w:b/>
        </w:rPr>
        <w:t xml:space="preserve">Izmjena i dopuna Prostornog plana uređenja Grada Makarske, Izmjena i dopuna Urbanističkog plana uređenja turističke zone Makarska – Zapad 2 i Urbanističkog plana uređenja ugostiteljsko-turističke zone </w:t>
      </w:r>
      <w:proofErr w:type="spellStart"/>
      <w:r w:rsidR="00532D62" w:rsidRPr="00532D62">
        <w:rPr>
          <w:b/>
        </w:rPr>
        <w:t>Biloševac</w:t>
      </w:r>
      <w:proofErr w:type="spellEnd"/>
      <w:r w:rsidR="00532D62" w:rsidRPr="00532D62">
        <w:rPr>
          <w:b/>
        </w:rPr>
        <w:t xml:space="preserve"> 4</w:t>
      </w:r>
    </w:p>
    <w:p w:rsidR="00EA5E9A" w:rsidRPr="000121D2" w:rsidRDefault="00EA5E9A" w:rsidP="00EA5E9A">
      <w:pPr>
        <w:jc w:val="center"/>
        <w:rPr>
          <w:b/>
        </w:rPr>
      </w:pPr>
    </w:p>
    <w:p w:rsidR="009A25A4" w:rsidRDefault="009A25A4" w:rsidP="00B808A0">
      <w:pPr>
        <w:rPr>
          <w:b/>
        </w:rPr>
      </w:pPr>
    </w:p>
    <w:p w:rsidR="00EF0D3A" w:rsidRDefault="00EF0D3A" w:rsidP="00B808A0">
      <w:pPr>
        <w:rPr>
          <w:b/>
        </w:rPr>
      </w:pPr>
      <w:r>
        <w:rPr>
          <w:b/>
        </w:rPr>
        <w:t xml:space="preserve">I. Opće odredbe </w:t>
      </w:r>
    </w:p>
    <w:p w:rsidR="00532D62" w:rsidRDefault="00EF0D3A" w:rsidP="00B808A0">
      <w:r>
        <w:t>Ovom Odlukom utvrđuje se sadržaj strate</w:t>
      </w:r>
      <w:r w:rsidR="00532D62">
        <w:t xml:space="preserve">ške studije utjecaja na okoliš </w:t>
      </w:r>
      <w:r w:rsidR="00532D62" w:rsidRPr="00532D62">
        <w:t xml:space="preserve">Izmjena i dopuna Prostornog plana uređenja </w:t>
      </w:r>
      <w:r w:rsidR="00532D62">
        <w:t>(dalje u tekstu: ID PPU</w:t>
      </w:r>
      <w:r w:rsidR="00E20488">
        <w:t>G</w:t>
      </w:r>
      <w:r w:rsidR="00532D62">
        <w:t xml:space="preserve">) </w:t>
      </w:r>
      <w:r w:rsidR="00532D62" w:rsidRPr="00532D62">
        <w:t>Grada Makarske, Izmjena i dopuna Urbanističkog plana uređenja</w:t>
      </w:r>
      <w:r w:rsidR="00532D62">
        <w:t xml:space="preserve"> (dalje u tekstu: ID UPU)</w:t>
      </w:r>
      <w:r w:rsidR="00532D62" w:rsidRPr="00532D62">
        <w:t xml:space="preserve"> turističke zone Makarska – Zapad 2 i Urbanističkog plana uređenja</w:t>
      </w:r>
      <w:r w:rsidR="00532D62">
        <w:t xml:space="preserve"> (dalje u tekstu: UPU)</w:t>
      </w:r>
      <w:r w:rsidR="00532D62" w:rsidRPr="00532D62">
        <w:t xml:space="preserve"> ugostiteljsko-turističke zone </w:t>
      </w:r>
      <w:proofErr w:type="spellStart"/>
      <w:r w:rsidR="00532D62" w:rsidRPr="00532D62">
        <w:t>Biloševac</w:t>
      </w:r>
      <w:proofErr w:type="spellEnd"/>
      <w:r w:rsidR="00532D62" w:rsidRPr="00532D62">
        <w:t xml:space="preserve"> 4</w:t>
      </w:r>
    </w:p>
    <w:p w:rsidR="00EF0D3A" w:rsidRPr="00EF0D3A" w:rsidRDefault="00EF0D3A" w:rsidP="00B808A0">
      <w:r>
        <w:t xml:space="preserve">Postupak strateške procjene započeo je Odlukom o započinjanju postupka strateške procjene utjecaja na okoliš (KLASA: </w:t>
      </w:r>
      <w:r w:rsidR="00532D62">
        <w:t>350-02/19-20/1</w:t>
      </w:r>
      <w:r>
        <w:t xml:space="preserve">, URBROJ: </w:t>
      </w:r>
      <w:r w:rsidR="00532D62">
        <w:t>2147/01-01/4-19-1</w:t>
      </w:r>
      <w:r>
        <w:t xml:space="preserve"> od </w:t>
      </w:r>
      <w:r w:rsidR="00532D62">
        <w:t>07</w:t>
      </w:r>
      <w:r>
        <w:t xml:space="preserve">. </w:t>
      </w:r>
      <w:r w:rsidR="00532D62">
        <w:t>siječnja</w:t>
      </w:r>
      <w:r w:rsidR="00A465EC">
        <w:t xml:space="preserve"> 201</w:t>
      </w:r>
      <w:r w:rsidR="00532D62">
        <w:t>9</w:t>
      </w:r>
      <w:r w:rsidR="00A465EC">
        <w:t xml:space="preserve">.) nakon čega je proveden postupak određivanja sadržaja strateške studije </w:t>
      </w:r>
      <w:r w:rsidR="00E20488">
        <w:t>sukladno</w:t>
      </w:r>
      <w:r w:rsidR="00A465EC">
        <w:t xml:space="preserve"> čl. 8. Uredbe o strateškoj procjeni utjecaja strategije, plana i programa na okoliš. </w:t>
      </w:r>
    </w:p>
    <w:p w:rsidR="00C91AD4" w:rsidRDefault="00C91AD4" w:rsidP="00B808A0">
      <w:pPr>
        <w:rPr>
          <w:b/>
        </w:rPr>
      </w:pPr>
    </w:p>
    <w:p w:rsidR="009A6350" w:rsidRPr="00B808A0" w:rsidRDefault="00B808A0" w:rsidP="00B808A0">
      <w:pPr>
        <w:rPr>
          <w:b/>
        </w:rPr>
      </w:pPr>
      <w:r>
        <w:rPr>
          <w:b/>
        </w:rPr>
        <w:t>I</w:t>
      </w:r>
      <w:r w:rsidR="00A465EC">
        <w:rPr>
          <w:b/>
        </w:rPr>
        <w:t>I</w:t>
      </w:r>
      <w:r>
        <w:rPr>
          <w:b/>
        </w:rPr>
        <w:t>.</w:t>
      </w:r>
      <w:r w:rsidR="00EF0D3A">
        <w:rPr>
          <w:b/>
        </w:rPr>
        <w:t xml:space="preserve"> </w:t>
      </w:r>
      <w:r w:rsidR="009A6350" w:rsidRPr="00B808A0">
        <w:rPr>
          <w:b/>
        </w:rPr>
        <w:t xml:space="preserve">Programska polazišta, obuhvat i ciljevi </w:t>
      </w:r>
      <w:r w:rsidR="00532D62">
        <w:rPr>
          <w:b/>
        </w:rPr>
        <w:t>predmetnih Planova</w:t>
      </w:r>
    </w:p>
    <w:p w:rsidR="00C91AD4" w:rsidRPr="00902A27" w:rsidRDefault="00C91AD4" w:rsidP="00C91AD4">
      <w:pPr>
        <w:suppressAutoHyphens/>
        <w:spacing w:after="0"/>
        <w:ind w:right="-288"/>
        <w:rPr>
          <w:rFonts w:eastAsia="Times New Roman"/>
          <w:i/>
          <w:iCs/>
          <w:u w:val="single"/>
          <w:lang w:eastAsia="zh-CN"/>
        </w:rPr>
      </w:pPr>
      <w:r w:rsidRPr="00902A27">
        <w:rPr>
          <w:rFonts w:eastAsia="Times New Roman"/>
          <w:i/>
          <w:iCs/>
          <w:u w:val="single"/>
          <w:lang w:eastAsia="zh-CN"/>
        </w:rPr>
        <w:t>Ciljevi i programska polazišta ID PPU Grada Makarske obuhvaćaju: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lang w:eastAsia="zh-CN"/>
        </w:rPr>
      </w:pPr>
      <w:r w:rsidRPr="00B20328">
        <w:rPr>
          <w:rFonts w:eastAsia="Times New Roman"/>
          <w:lang w:eastAsia="zh-CN"/>
        </w:rPr>
        <w:t xml:space="preserve">- </w:t>
      </w:r>
      <w:r w:rsidRPr="00B20328">
        <w:rPr>
          <w:rFonts w:eastAsia="Times New Roman"/>
          <w:lang w:eastAsia="zh-CN"/>
        </w:rPr>
        <w:tab/>
        <w:t>usklađivanje važećeg PPUG-a sa zakonskim odrednicama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lang w:eastAsia="zh-CN"/>
        </w:rPr>
      </w:pPr>
      <w:r w:rsidRPr="00B20328">
        <w:rPr>
          <w:rFonts w:eastAsia="Times New Roman"/>
          <w:lang w:eastAsia="zh-CN"/>
        </w:rPr>
        <w:t>-  usklađivanje sa izmjenama i dopunama županijskog PP-a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lang w:eastAsia="zh-CN"/>
        </w:rPr>
      </w:pPr>
      <w:r w:rsidRPr="00B20328">
        <w:rPr>
          <w:rFonts w:eastAsia="Times New Roman"/>
          <w:lang w:eastAsia="zh-CN"/>
        </w:rPr>
        <w:t>-  precizniju razradu i prilagodbu odredbi za provođenje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0000"/>
          <w:lang w:eastAsia="zh-CN"/>
        </w:rPr>
      </w:pPr>
      <w:r w:rsidRPr="00B20328">
        <w:rPr>
          <w:rFonts w:eastAsia="Times New Roman"/>
          <w:color w:val="000000"/>
          <w:lang w:eastAsia="zh-CN"/>
        </w:rPr>
        <w:t xml:space="preserve">-  prikaz novog prometnog rješenja (kružno križanje na </w:t>
      </w:r>
      <w:proofErr w:type="spellStart"/>
      <w:r w:rsidRPr="00B20328">
        <w:rPr>
          <w:rFonts w:eastAsia="Times New Roman"/>
          <w:color w:val="000000"/>
          <w:lang w:eastAsia="zh-CN"/>
        </w:rPr>
        <w:t>Voliciji</w:t>
      </w:r>
      <w:proofErr w:type="spellEnd"/>
      <w:r w:rsidRPr="00B20328">
        <w:rPr>
          <w:rFonts w:eastAsia="Times New Roman"/>
          <w:color w:val="000000"/>
          <w:lang w:eastAsia="zh-CN"/>
        </w:rPr>
        <w:t>)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0000"/>
          <w:lang w:eastAsia="zh-CN"/>
        </w:rPr>
      </w:pPr>
      <w:r w:rsidRPr="00B20328">
        <w:rPr>
          <w:rFonts w:eastAsia="Times New Roman"/>
          <w:color w:val="000000"/>
          <w:lang w:eastAsia="zh-CN"/>
        </w:rPr>
        <w:t>-  novi koridor prometnice na području Moče,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0000"/>
          <w:lang w:eastAsia="zh-CN"/>
        </w:rPr>
      </w:pPr>
      <w:r w:rsidRPr="00B20328">
        <w:rPr>
          <w:rFonts w:eastAsia="Times New Roman"/>
          <w:color w:val="000000"/>
          <w:lang w:eastAsia="zh-CN"/>
        </w:rPr>
        <w:t xml:space="preserve">-  ukidanje koridora ceste i proširenje građevinskog područja namjene K1 (na </w:t>
      </w:r>
      <w:proofErr w:type="spellStart"/>
      <w:r w:rsidRPr="00B20328">
        <w:rPr>
          <w:rFonts w:eastAsia="Times New Roman"/>
          <w:color w:val="000000"/>
          <w:lang w:eastAsia="zh-CN"/>
        </w:rPr>
        <w:t>Voliciji</w:t>
      </w:r>
      <w:proofErr w:type="spellEnd"/>
      <w:r w:rsidRPr="00B20328">
        <w:rPr>
          <w:rFonts w:eastAsia="Times New Roman"/>
          <w:color w:val="000000"/>
          <w:lang w:eastAsia="zh-CN"/>
        </w:rPr>
        <w:t>)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0000"/>
          <w:lang w:eastAsia="zh-CN"/>
        </w:rPr>
      </w:pPr>
      <w:r w:rsidRPr="00B20328">
        <w:rPr>
          <w:rFonts w:eastAsia="Times New Roman"/>
          <w:color w:val="000000"/>
          <w:lang w:eastAsia="zh-CN"/>
        </w:rPr>
        <w:t xml:space="preserve">-  prenamjena površine iz "planirano zaštitno zelenilo" u površinu infrastrukturnih sustava" na </w:t>
      </w:r>
      <w:proofErr w:type="spellStart"/>
      <w:r w:rsidRPr="00B20328">
        <w:rPr>
          <w:rFonts w:eastAsia="Times New Roman"/>
          <w:color w:val="000000"/>
          <w:lang w:eastAsia="zh-CN"/>
        </w:rPr>
        <w:t>Zagonu</w:t>
      </w:r>
      <w:proofErr w:type="spellEnd"/>
      <w:r w:rsidRPr="00B20328">
        <w:rPr>
          <w:rFonts w:eastAsia="Times New Roman"/>
          <w:color w:val="000000"/>
          <w:lang w:eastAsia="zh-CN"/>
        </w:rPr>
        <w:t>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0000"/>
          <w:lang w:eastAsia="zh-CN"/>
        </w:rPr>
      </w:pPr>
      <w:r w:rsidRPr="00B20328">
        <w:rPr>
          <w:rFonts w:eastAsia="Times New Roman"/>
          <w:color w:val="000000"/>
          <w:lang w:eastAsia="zh-CN"/>
        </w:rPr>
        <w:t xml:space="preserve">-  određivanje lokacije za </w:t>
      </w:r>
      <w:proofErr w:type="spellStart"/>
      <w:r w:rsidRPr="00B20328">
        <w:rPr>
          <w:rFonts w:eastAsia="Times New Roman"/>
          <w:color w:val="000000"/>
          <w:lang w:eastAsia="zh-CN"/>
        </w:rPr>
        <w:t>reciklažno</w:t>
      </w:r>
      <w:proofErr w:type="spellEnd"/>
      <w:r w:rsidRPr="00B20328">
        <w:rPr>
          <w:rFonts w:eastAsia="Times New Roman"/>
          <w:color w:val="000000"/>
          <w:lang w:eastAsia="zh-CN"/>
        </w:rPr>
        <w:t xml:space="preserve"> dvorište,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0000"/>
          <w:lang w:eastAsia="zh-CN"/>
        </w:rPr>
      </w:pPr>
      <w:r w:rsidRPr="00902A27">
        <w:rPr>
          <w:rFonts w:eastAsia="Times New Roman"/>
          <w:color w:val="000000"/>
          <w:lang w:eastAsia="zh-CN"/>
        </w:rPr>
        <w:t xml:space="preserve">- određivanje lokacije za </w:t>
      </w:r>
      <w:proofErr w:type="spellStart"/>
      <w:r w:rsidRPr="00902A27">
        <w:rPr>
          <w:rFonts w:eastAsia="Times New Roman"/>
          <w:color w:val="000000"/>
          <w:lang w:eastAsia="zh-CN"/>
        </w:rPr>
        <w:t>helidrom</w:t>
      </w:r>
      <w:proofErr w:type="spellEnd"/>
      <w:r w:rsidRPr="00902A27">
        <w:rPr>
          <w:rFonts w:eastAsia="Times New Roman"/>
          <w:color w:val="000000"/>
          <w:lang w:eastAsia="zh-CN"/>
        </w:rPr>
        <w:t xml:space="preserve"> na </w:t>
      </w:r>
      <w:proofErr w:type="spellStart"/>
      <w:r w:rsidRPr="00902A27">
        <w:rPr>
          <w:rFonts w:eastAsia="Times New Roman"/>
          <w:color w:val="000000"/>
          <w:lang w:eastAsia="zh-CN"/>
        </w:rPr>
        <w:t>Osejavi</w:t>
      </w:r>
      <w:proofErr w:type="spellEnd"/>
      <w:r w:rsidRPr="00902A27">
        <w:rPr>
          <w:rFonts w:eastAsia="Times New Roman"/>
          <w:color w:val="000000"/>
          <w:lang w:eastAsia="zh-CN"/>
        </w:rPr>
        <w:t>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0000"/>
          <w:lang w:eastAsia="zh-CN"/>
        </w:rPr>
      </w:pPr>
      <w:r w:rsidRPr="00B20328">
        <w:rPr>
          <w:rFonts w:eastAsia="Times New Roman"/>
          <w:color w:val="000000"/>
          <w:lang w:eastAsia="zh-CN"/>
        </w:rPr>
        <w:t xml:space="preserve">- određivanje nove lokacije vodospreme sa cjevovodom u </w:t>
      </w:r>
      <w:proofErr w:type="spellStart"/>
      <w:r w:rsidRPr="00B20328">
        <w:rPr>
          <w:rFonts w:eastAsia="Times New Roman"/>
          <w:color w:val="000000"/>
          <w:lang w:eastAsia="zh-CN"/>
        </w:rPr>
        <w:t>Kotišini</w:t>
      </w:r>
      <w:proofErr w:type="spellEnd"/>
      <w:r w:rsidRPr="00B20328">
        <w:rPr>
          <w:rFonts w:eastAsia="Times New Roman"/>
          <w:color w:val="000000"/>
          <w:lang w:eastAsia="zh-CN"/>
        </w:rPr>
        <w:t>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7030A0"/>
          <w:lang w:eastAsia="zh-CN"/>
        </w:rPr>
      </w:pPr>
      <w:r w:rsidRPr="00B20328">
        <w:rPr>
          <w:rFonts w:eastAsia="Times New Roman"/>
          <w:color w:val="000000"/>
          <w:lang w:eastAsia="zh-CN"/>
        </w:rPr>
        <w:t>-  rješavanje ostale infrastrukture  i uređenja plaža</w:t>
      </w:r>
      <w:r w:rsidRPr="00B20328">
        <w:rPr>
          <w:rFonts w:eastAsia="Times New Roman"/>
          <w:color w:val="7030A0"/>
          <w:lang w:eastAsia="zh-CN"/>
        </w:rPr>
        <w:t xml:space="preserve">, </w:t>
      </w:r>
      <w:r w:rsidRPr="00B20328">
        <w:rPr>
          <w:rFonts w:eastAsia="Times New Roman"/>
          <w:lang w:eastAsia="zh-CN"/>
        </w:rPr>
        <w:t xml:space="preserve">izuzev plaža na području uvale Krvavica i uvale Ramova, te područja poluotoka Sv. Petar i </w:t>
      </w:r>
      <w:proofErr w:type="spellStart"/>
      <w:r w:rsidRPr="00B20328">
        <w:rPr>
          <w:rFonts w:eastAsia="Times New Roman"/>
          <w:lang w:eastAsia="zh-CN"/>
        </w:rPr>
        <w:t>Osejava</w:t>
      </w:r>
      <w:proofErr w:type="spellEnd"/>
      <w:r w:rsidRPr="00B20328">
        <w:rPr>
          <w:rFonts w:eastAsia="Times New Roman"/>
          <w:lang w:eastAsia="zh-CN"/>
        </w:rPr>
        <w:t>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0000"/>
          <w:lang w:eastAsia="zh-CN"/>
        </w:rPr>
      </w:pPr>
      <w:r w:rsidRPr="00B20328">
        <w:rPr>
          <w:rFonts w:eastAsia="Times New Roman"/>
          <w:color w:val="000000"/>
          <w:lang w:eastAsia="zh-CN"/>
        </w:rPr>
        <w:t>-  prenamjena građevinskog područja iz "građevinskog područja naselja" u D4 (kod srednje škole na Istoku),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- </w:t>
      </w:r>
      <w:r w:rsidRPr="00B20328">
        <w:rPr>
          <w:rFonts w:eastAsia="Times New Roman"/>
          <w:lang w:eastAsia="zh-CN"/>
        </w:rPr>
        <w:t>ostale prenamjene unutar građevinskog područja po zaprimljenim zahtjevima građana,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B050"/>
          <w:lang w:eastAsia="zh-CN"/>
        </w:rPr>
      </w:pPr>
      <w:r w:rsidRPr="00B20328">
        <w:rPr>
          <w:rFonts w:eastAsia="Times New Roman"/>
          <w:color w:val="000000"/>
          <w:lang w:eastAsia="zh-CN"/>
        </w:rPr>
        <w:t xml:space="preserve">- redefiniranje uvjeta, sadržaja i obuhvata sportsko </w:t>
      </w:r>
      <w:r w:rsidRPr="00902A27">
        <w:rPr>
          <w:rFonts w:eastAsia="Times New Roman"/>
          <w:color w:val="000000"/>
          <w:lang w:eastAsia="zh-CN"/>
        </w:rPr>
        <w:t>rekreativne zone Platno</w:t>
      </w:r>
      <w:r w:rsidRPr="00902A27">
        <w:rPr>
          <w:rFonts w:eastAsia="Times New Roman"/>
          <w:color w:val="00B050"/>
          <w:lang w:eastAsia="zh-CN"/>
        </w:rPr>
        <w:t>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0000"/>
          <w:lang w:eastAsia="zh-CN"/>
        </w:rPr>
      </w:pPr>
      <w:r w:rsidRPr="00B20328">
        <w:rPr>
          <w:rFonts w:eastAsia="Times New Roman"/>
          <w:color w:val="000000"/>
          <w:lang w:eastAsia="zh-CN"/>
        </w:rPr>
        <w:t>- izmjena parametara odnosno uvjeta gradnje za provedbu zahvata izgradnje dječjih vrtića,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0000"/>
          <w:lang w:eastAsia="zh-CN"/>
        </w:rPr>
      </w:pPr>
      <w:r w:rsidRPr="00B20328">
        <w:rPr>
          <w:rFonts w:eastAsia="Times New Roman"/>
          <w:color w:val="000000"/>
          <w:lang w:eastAsia="zh-CN"/>
        </w:rPr>
        <w:t>- promjene granica obuhvata UPU-a odnosno smanjenja obuhvata pojedinih UPU-a predviđenih u PPUG-u za obveznu izradu,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color w:val="000000"/>
          <w:lang w:eastAsia="zh-CN"/>
        </w:rPr>
      </w:pPr>
      <w:r>
        <w:rPr>
          <w:rFonts w:eastAsia="Times New Roman"/>
          <w:color w:val="000000"/>
          <w:lang w:eastAsia="zh-CN"/>
        </w:rPr>
        <w:t>-</w:t>
      </w:r>
      <w:r w:rsidRPr="00B20328">
        <w:rPr>
          <w:rFonts w:eastAsia="Times New Roman"/>
          <w:color w:val="000000"/>
          <w:lang w:eastAsia="zh-CN"/>
        </w:rPr>
        <w:t xml:space="preserve"> ukidanje obveze izrade pojedinih planiranih UPU-a manjeg obuhvata koji se mogu smatrati uređenim građevinskim područjem odnosno područjima opremljenim osnovnom infrastrukturom,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lang w:eastAsia="zh-CN"/>
        </w:rPr>
      </w:pPr>
      <w:r w:rsidRPr="00B20328">
        <w:rPr>
          <w:rFonts w:eastAsia="Times New Roman"/>
          <w:lang w:eastAsia="zh-CN"/>
        </w:rPr>
        <w:lastRenderedPageBreak/>
        <w:t xml:space="preserve">- </w:t>
      </w:r>
      <w:r>
        <w:rPr>
          <w:rFonts w:eastAsia="Times New Roman"/>
          <w:lang w:eastAsia="zh-CN"/>
        </w:rPr>
        <w:t>r</w:t>
      </w:r>
      <w:r w:rsidRPr="00B20328">
        <w:rPr>
          <w:rFonts w:eastAsia="Times New Roman"/>
          <w:lang w:eastAsia="hr-HR"/>
        </w:rPr>
        <w:t xml:space="preserve">edefiniranje uvjeta gradnje svih vrsta turističkih građevina koje se planiraju na građevinskom području unutar granica naselja u izdvojenim ugostiteljsko turističkim zonama (dakle, na svim prostorima izuzev ugostiteljsko turističke zone </w:t>
      </w:r>
      <w:proofErr w:type="spellStart"/>
      <w:r w:rsidRPr="00B20328">
        <w:rPr>
          <w:rFonts w:eastAsia="Times New Roman"/>
          <w:lang w:eastAsia="hr-HR"/>
        </w:rPr>
        <w:t>Biloševca</w:t>
      </w:r>
      <w:proofErr w:type="spellEnd"/>
      <w:r w:rsidRPr="00B20328">
        <w:rPr>
          <w:rFonts w:eastAsia="Times New Roman"/>
          <w:lang w:eastAsia="hr-HR"/>
        </w:rPr>
        <w:t xml:space="preserve">), na način da se propišu poticajniji uvjeti, manje restriktivni parametri za gradnju građevina iz skupine hotela, i to samo za vrstu „hotel“ iz objekata skupine hoteli (vrste propisane Pravilnikom o razvrstavanju i kategorizaciji ugostiteljskih objekata iz skupine hotela), dakle isključujući od ovog vrstu </w:t>
      </w:r>
      <w:proofErr w:type="spellStart"/>
      <w:r w:rsidRPr="00B20328">
        <w:rPr>
          <w:rFonts w:eastAsia="Times New Roman"/>
          <w:lang w:eastAsia="hr-HR"/>
        </w:rPr>
        <w:t>aparthotela</w:t>
      </w:r>
      <w:proofErr w:type="spellEnd"/>
      <w:r w:rsidRPr="00B20328">
        <w:rPr>
          <w:rFonts w:eastAsia="Times New Roman"/>
          <w:lang w:eastAsia="hr-HR"/>
        </w:rPr>
        <w:t>, turističkih apartmana i sličnih vrsta, a da se poticajniji uvjeti propišu i za ugostiteljsko turističke građevine u zonama mješovite i poslovne namjene,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lang w:eastAsia="hr-HR"/>
        </w:rPr>
      </w:pPr>
      <w:r w:rsidRPr="00B20328">
        <w:rPr>
          <w:rFonts w:eastAsia="Times New Roman"/>
          <w:lang w:eastAsia="hr-HR"/>
        </w:rPr>
        <w:t>-</w:t>
      </w:r>
      <w:r w:rsidRPr="00B20328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>r</w:t>
      </w:r>
      <w:r w:rsidRPr="00B20328">
        <w:rPr>
          <w:rFonts w:eastAsia="Times New Roman"/>
          <w:lang w:eastAsia="hr-HR"/>
        </w:rPr>
        <w:t>edefiniranje ugostiteljsko turističkih zona za gradnju hotela unutar granica naselja, korekcije obuhvata UPU-a, ali bez mogućnosti ukidanja ili promjene ugostiteljsko turističke namjene i najmanjeg dijela tih zona. Sa druge strane, otvoriti mogućnost povećanja postojećih zona ili uvođenja novih ugostiteljsko turističkih zona,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lang w:eastAsia="hr-HR"/>
        </w:rPr>
      </w:pPr>
      <w:r w:rsidRPr="00B20328">
        <w:rPr>
          <w:rFonts w:eastAsia="Times New Roman"/>
          <w:lang w:eastAsia="hr-HR"/>
        </w:rPr>
        <w:t>-</w:t>
      </w:r>
      <w:r w:rsidRPr="00B20328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>u</w:t>
      </w:r>
      <w:r w:rsidRPr="00B20328">
        <w:rPr>
          <w:rFonts w:eastAsia="Times New Roman"/>
          <w:lang w:eastAsia="hr-HR"/>
        </w:rPr>
        <w:t>nutar obuhvata UPU-a ugostiteljsko turističke zone Makarska – Zapad 2,  izmijeniti zonu turističkog naselja, oznake T2, u zonu hotela visoke kategorije, oznake T1,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lang w:eastAsia="hr-HR"/>
        </w:rPr>
      </w:pPr>
      <w:r w:rsidRPr="00B20328">
        <w:rPr>
          <w:rFonts w:eastAsia="Times New Roman"/>
          <w:lang w:eastAsia="hr-HR"/>
        </w:rPr>
        <w:t>-</w:t>
      </w:r>
      <w:r w:rsidRPr="00B20328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>k</w:t>
      </w:r>
      <w:r w:rsidRPr="00B20328">
        <w:rPr>
          <w:rFonts w:eastAsia="Times New Roman"/>
          <w:lang w:eastAsia="zh-CN"/>
        </w:rPr>
        <w:t xml:space="preserve">orekcije postojećih te planiranje </w:t>
      </w:r>
      <w:r w:rsidRPr="00B20328">
        <w:rPr>
          <w:rFonts w:eastAsia="Times New Roman"/>
          <w:lang w:eastAsia="hr-HR"/>
        </w:rPr>
        <w:t>novih koridora prometnica na području ugostiteljsko turističkih zona na zapadu Makarske,</w:t>
      </w:r>
    </w:p>
    <w:p w:rsidR="00C91AD4" w:rsidRPr="00B20328" w:rsidRDefault="00C91AD4" w:rsidP="00C91AD4">
      <w:pPr>
        <w:suppressAutoHyphens/>
        <w:spacing w:after="0"/>
        <w:ind w:left="284" w:right="-288" w:hanging="180"/>
        <w:rPr>
          <w:rFonts w:eastAsia="Times New Roman"/>
          <w:lang w:eastAsia="hr-HR"/>
        </w:rPr>
      </w:pPr>
      <w:r w:rsidRPr="00B20328">
        <w:rPr>
          <w:rFonts w:eastAsia="Times New Roman"/>
          <w:lang w:eastAsia="hr-HR"/>
        </w:rPr>
        <w:t xml:space="preserve">- </w:t>
      </w:r>
      <w:r>
        <w:rPr>
          <w:rFonts w:eastAsia="Times New Roman"/>
          <w:lang w:eastAsia="hr-HR"/>
        </w:rPr>
        <w:t>k</w:t>
      </w:r>
      <w:r w:rsidRPr="00B20328">
        <w:rPr>
          <w:rFonts w:eastAsia="Times New Roman"/>
          <w:lang w:eastAsia="hr-HR"/>
        </w:rPr>
        <w:t xml:space="preserve">orekcije cestovnih pravaca u svrhu prilagodbe i provedbe prometnica sukladno </w:t>
      </w:r>
      <w:bookmarkStart w:id="0" w:name="_Hlk513552944"/>
      <w:r w:rsidRPr="00B20328">
        <w:rPr>
          <w:rFonts w:eastAsia="Times New Roman"/>
          <w:lang w:eastAsia="hr-HR"/>
        </w:rPr>
        <w:t>tehnički izvedivim rješenjima na terenu,</w:t>
      </w:r>
    </w:p>
    <w:p w:rsidR="00C91AD4" w:rsidRDefault="00C91AD4" w:rsidP="00C91AD4">
      <w:pPr>
        <w:suppressAutoHyphens/>
        <w:spacing w:after="0"/>
        <w:ind w:left="284" w:right="-288" w:hanging="180"/>
        <w:rPr>
          <w:rFonts w:eastAsia="Times New Roman"/>
          <w:lang w:eastAsia="hr-HR"/>
        </w:rPr>
      </w:pPr>
      <w:r w:rsidRPr="00B20328">
        <w:rPr>
          <w:rFonts w:eastAsia="Times New Roman"/>
          <w:lang w:eastAsia="hr-HR"/>
        </w:rPr>
        <w:t xml:space="preserve">- </w:t>
      </w:r>
      <w:r>
        <w:rPr>
          <w:rFonts w:eastAsia="Times New Roman"/>
          <w:lang w:eastAsia="hr-HR"/>
        </w:rPr>
        <w:t>i</w:t>
      </w:r>
      <w:r w:rsidRPr="00B20328">
        <w:rPr>
          <w:rFonts w:eastAsia="Times New Roman"/>
          <w:lang w:eastAsia="hr-HR"/>
        </w:rPr>
        <w:t xml:space="preserve">z obuhvata sportsko-rekreativne zone UPU-a </w:t>
      </w:r>
      <w:r w:rsidRPr="00902A27">
        <w:rPr>
          <w:rFonts w:eastAsia="Times New Roman"/>
          <w:lang w:eastAsia="hr-HR"/>
        </w:rPr>
        <w:t>Platno izbaciti</w:t>
      </w:r>
      <w:r w:rsidRPr="00B20328">
        <w:rPr>
          <w:rFonts w:eastAsia="Times New Roman"/>
          <w:lang w:eastAsia="hr-HR"/>
        </w:rPr>
        <w:t xml:space="preserve"> morski dio plana, te smanjiti kopnenu površinu obuhvata plana za južni dio kupališta i dio zaštitnog zelenila.</w:t>
      </w:r>
    </w:p>
    <w:p w:rsidR="00C91AD4" w:rsidRPr="00B20328" w:rsidRDefault="00C91AD4" w:rsidP="00C91AD4">
      <w:pPr>
        <w:suppressAutoHyphens/>
        <w:spacing w:after="0"/>
        <w:ind w:left="1440" w:right="-288" w:hanging="180"/>
        <w:rPr>
          <w:rFonts w:eastAsia="Times New Roman"/>
          <w:lang w:eastAsia="hr-HR"/>
        </w:rPr>
      </w:pPr>
    </w:p>
    <w:bookmarkEnd w:id="0"/>
    <w:p w:rsidR="00C91AD4" w:rsidRDefault="00C91AD4" w:rsidP="00C91AD4">
      <w:pPr>
        <w:suppressAutoHyphens/>
        <w:spacing w:after="0"/>
        <w:ind w:right="-288"/>
        <w:rPr>
          <w:rFonts w:eastAsia="Times New Roman"/>
          <w:color w:val="000000"/>
          <w:lang w:eastAsia="zh-CN"/>
        </w:rPr>
      </w:pPr>
      <w:r>
        <w:rPr>
          <w:rFonts w:eastAsia="Times New Roman"/>
          <w:color w:val="000000"/>
          <w:lang w:eastAsia="zh-CN"/>
        </w:rPr>
        <w:t xml:space="preserve">Obuhvat ID PPU Grada Makarske odnosi se na administrativni obuhvat jedinice lokalne samouprave – Grad Makarska. </w:t>
      </w:r>
    </w:p>
    <w:p w:rsidR="000E3AA8" w:rsidRDefault="000E3AA8" w:rsidP="000E3AA8">
      <w:pPr>
        <w:jc w:val="both"/>
        <w:rPr>
          <w:rFonts w:eastAsia="Times New Roman"/>
          <w:lang w:eastAsia="hr-HR"/>
        </w:rPr>
      </w:pPr>
    </w:p>
    <w:p w:rsidR="00C91AD4" w:rsidRDefault="00C91AD4" w:rsidP="00C91AD4">
      <w:pPr>
        <w:pStyle w:val="Normal1"/>
        <w:rPr>
          <w:color w:val="auto"/>
        </w:rPr>
      </w:pPr>
      <w:r w:rsidRPr="00902A27">
        <w:rPr>
          <w:i/>
          <w:iCs/>
          <w:color w:val="auto"/>
          <w:u w:val="single"/>
        </w:rPr>
        <w:t xml:space="preserve">Osnovni cilj ID UPU-a </w:t>
      </w:r>
      <w:proofErr w:type="spellStart"/>
      <w:r w:rsidRPr="00902A27">
        <w:rPr>
          <w:bCs/>
          <w:i/>
          <w:iCs/>
          <w:u w:val="single"/>
          <w:lang w:val="en-US"/>
        </w:rPr>
        <w:t>ugostiteljsko-turističke</w:t>
      </w:r>
      <w:proofErr w:type="spellEnd"/>
      <w:r w:rsidRPr="00902A27">
        <w:rPr>
          <w:bCs/>
          <w:i/>
          <w:iCs/>
          <w:u w:val="single"/>
          <w:lang w:val="en-US"/>
        </w:rPr>
        <w:t xml:space="preserve"> zone </w:t>
      </w:r>
      <w:proofErr w:type="spellStart"/>
      <w:r w:rsidRPr="00902A27">
        <w:rPr>
          <w:bCs/>
          <w:i/>
          <w:iCs/>
          <w:u w:val="single"/>
          <w:lang w:val="en-US"/>
        </w:rPr>
        <w:t>Makarska-Zapad</w:t>
      </w:r>
      <w:proofErr w:type="spellEnd"/>
      <w:r w:rsidRPr="00902A27">
        <w:rPr>
          <w:bCs/>
          <w:i/>
          <w:iCs/>
          <w:u w:val="single"/>
          <w:lang w:val="en-US"/>
        </w:rPr>
        <w:t xml:space="preserve"> 2</w:t>
      </w:r>
      <w:r>
        <w:rPr>
          <w:bCs/>
          <w:lang w:val="en-US"/>
        </w:rPr>
        <w:t xml:space="preserve"> </w:t>
      </w:r>
      <w:r w:rsidRPr="008B4311">
        <w:rPr>
          <w:color w:val="auto"/>
        </w:rPr>
        <w:t>odnosi</w:t>
      </w:r>
      <w:r>
        <w:rPr>
          <w:color w:val="auto"/>
        </w:rPr>
        <w:t xml:space="preserve"> se</w:t>
      </w:r>
      <w:r w:rsidRPr="008B4311">
        <w:rPr>
          <w:color w:val="auto"/>
        </w:rPr>
        <w:t xml:space="preserve"> na omogućavanje </w:t>
      </w:r>
      <w:r>
        <w:rPr>
          <w:color w:val="auto"/>
        </w:rPr>
        <w:t>realne provedbe plana, odnosno konačne provedbe izgradnje kvalite</w:t>
      </w:r>
      <w:r w:rsidR="0021082C">
        <w:rPr>
          <w:color w:val="auto"/>
        </w:rPr>
        <w:t>t</w:t>
      </w:r>
      <w:r>
        <w:rPr>
          <w:color w:val="auto"/>
        </w:rPr>
        <w:t>nih turističkih objekata, pretežito manjih obiteljskih ali i dijelom većih hotelskih objekata visoke kategorije.</w:t>
      </w:r>
    </w:p>
    <w:p w:rsidR="00C91AD4" w:rsidRDefault="00C91AD4" w:rsidP="00C91AD4">
      <w:pPr>
        <w:pStyle w:val="Normal1"/>
        <w:rPr>
          <w:color w:val="auto"/>
        </w:rPr>
      </w:pPr>
    </w:p>
    <w:p w:rsidR="00C91AD4" w:rsidRPr="00EC5946" w:rsidRDefault="00C91AD4" w:rsidP="00C91AD4">
      <w:pPr>
        <w:pStyle w:val="Normal1"/>
        <w:rPr>
          <w:color w:val="auto"/>
        </w:rPr>
      </w:pPr>
      <w:r>
        <w:rPr>
          <w:color w:val="auto"/>
        </w:rPr>
        <w:t xml:space="preserve">Obuhvat </w:t>
      </w:r>
      <w:r w:rsidRPr="00EC5946">
        <w:rPr>
          <w:color w:val="auto"/>
        </w:rPr>
        <w:t xml:space="preserve">ID UPU-a </w:t>
      </w:r>
      <w:proofErr w:type="spellStart"/>
      <w:r w:rsidRPr="00EC5946">
        <w:rPr>
          <w:bCs/>
          <w:lang w:val="en-US"/>
        </w:rPr>
        <w:t>ugostiteljsko-turističke</w:t>
      </w:r>
      <w:proofErr w:type="spellEnd"/>
      <w:r w:rsidRPr="00EC5946">
        <w:rPr>
          <w:bCs/>
          <w:lang w:val="en-US"/>
        </w:rPr>
        <w:t xml:space="preserve"> zone </w:t>
      </w:r>
      <w:proofErr w:type="spellStart"/>
      <w:r w:rsidRPr="00EC5946">
        <w:rPr>
          <w:bCs/>
          <w:lang w:val="en-US"/>
        </w:rPr>
        <w:t>Makarska-Zapad</w:t>
      </w:r>
      <w:proofErr w:type="spellEnd"/>
      <w:r w:rsidRPr="00EC5946">
        <w:rPr>
          <w:bCs/>
          <w:lang w:val="en-US"/>
        </w:rPr>
        <w:t xml:space="preserve"> 2</w:t>
      </w:r>
      <w:r>
        <w:rPr>
          <w:bCs/>
          <w:lang w:val="en-US"/>
        </w:rPr>
        <w:t xml:space="preserve"> je </w:t>
      </w:r>
      <w:proofErr w:type="spellStart"/>
      <w:r>
        <w:rPr>
          <w:bCs/>
          <w:lang w:val="en-US"/>
        </w:rPr>
        <w:t>područje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unutar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granica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obuhvata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predmetnog</w:t>
      </w:r>
      <w:proofErr w:type="spellEnd"/>
      <w:r>
        <w:rPr>
          <w:bCs/>
          <w:lang w:val="en-US"/>
        </w:rPr>
        <w:t xml:space="preserve"> UPU-a </w:t>
      </w:r>
      <w:proofErr w:type="spellStart"/>
      <w:r>
        <w:rPr>
          <w:bCs/>
          <w:lang w:val="en-US"/>
        </w:rPr>
        <w:t>površine</w:t>
      </w:r>
      <w:proofErr w:type="spellEnd"/>
      <w:r>
        <w:rPr>
          <w:bCs/>
          <w:lang w:val="en-US"/>
        </w:rPr>
        <w:t xml:space="preserve"> 3,52 ha. </w:t>
      </w:r>
    </w:p>
    <w:p w:rsidR="00C91AD4" w:rsidRDefault="00C91AD4" w:rsidP="000E3AA8">
      <w:pPr>
        <w:jc w:val="both"/>
        <w:rPr>
          <w:rFonts w:eastAsia="Times New Roman"/>
          <w:lang w:eastAsia="hr-HR"/>
        </w:rPr>
      </w:pPr>
    </w:p>
    <w:p w:rsidR="00C91AD4" w:rsidRPr="00902A27" w:rsidRDefault="00C91AD4" w:rsidP="00C91AD4">
      <w:pPr>
        <w:jc w:val="both"/>
        <w:rPr>
          <w:rFonts w:eastAsia="Times New Roman"/>
          <w:i/>
          <w:iCs/>
          <w:u w:val="single"/>
          <w:lang w:eastAsia="hr-HR"/>
        </w:rPr>
      </w:pPr>
      <w:r w:rsidRPr="00902A27">
        <w:rPr>
          <w:rFonts w:eastAsia="Times New Roman"/>
          <w:i/>
          <w:iCs/>
          <w:u w:val="single"/>
          <w:lang w:eastAsia="hr-HR"/>
        </w:rPr>
        <w:t xml:space="preserve">Osnovni ciljevi i programska polazišta izrade UPU-a ugostiteljsko-turističke zone </w:t>
      </w:r>
      <w:proofErr w:type="spellStart"/>
      <w:r w:rsidRPr="00902A27">
        <w:rPr>
          <w:rFonts w:eastAsia="Times New Roman"/>
          <w:i/>
          <w:iCs/>
          <w:u w:val="single"/>
          <w:lang w:eastAsia="hr-HR"/>
        </w:rPr>
        <w:t>Biloševac</w:t>
      </w:r>
      <w:proofErr w:type="spellEnd"/>
      <w:r w:rsidRPr="00902A27">
        <w:rPr>
          <w:rFonts w:eastAsia="Times New Roman"/>
          <w:i/>
          <w:iCs/>
          <w:u w:val="single"/>
          <w:lang w:eastAsia="hr-HR"/>
        </w:rPr>
        <w:t xml:space="preserve"> obuhvaćaju:</w:t>
      </w:r>
    </w:p>
    <w:p w:rsidR="00C91AD4" w:rsidRPr="00C91AD4" w:rsidRDefault="00C91AD4" w:rsidP="00C91AD4">
      <w:pPr>
        <w:jc w:val="both"/>
        <w:rPr>
          <w:rFonts w:eastAsia="Times New Roman"/>
          <w:u w:val="single"/>
          <w:lang w:eastAsia="hr-HR"/>
        </w:rPr>
      </w:pPr>
      <w:r w:rsidRPr="00C91AD4">
        <w:rPr>
          <w:rFonts w:eastAsia="Times New Roman"/>
          <w:lang w:eastAsia="hr-HR"/>
        </w:rPr>
        <w:t xml:space="preserve"> -   detaljnu razradu uvjeta za gradnju i uređenje pojedinih zahvata u prostoru u odnosu na njihovu namjenu, položaj i veličinu,</w:t>
      </w:r>
    </w:p>
    <w:p w:rsidR="00C91AD4" w:rsidRPr="00C91AD4" w:rsidRDefault="00C91AD4" w:rsidP="00C91AD4">
      <w:pPr>
        <w:jc w:val="both"/>
        <w:rPr>
          <w:rFonts w:eastAsia="Times New Roman"/>
          <w:lang w:eastAsia="hr-HR"/>
        </w:rPr>
      </w:pPr>
      <w:r w:rsidRPr="00C91AD4">
        <w:rPr>
          <w:rFonts w:eastAsia="Times New Roman"/>
          <w:lang w:eastAsia="hr-HR"/>
        </w:rPr>
        <w:t>- omogućavanje provedbe plana, odnosno provedbe zahvata izgradnje kvalitetnih ugostiteljsko turističkih građevina, odnosno hotela i kampova visoke kategorije,</w:t>
      </w:r>
    </w:p>
    <w:p w:rsidR="00C91AD4" w:rsidRPr="00C91AD4" w:rsidRDefault="00C91AD4" w:rsidP="00C91AD4">
      <w:pPr>
        <w:jc w:val="both"/>
        <w:rPr>
          <w:rFonts w:eastAsia="Times New Roman"/>
          <w:lang w:eastAsia="hr-HR"/>
        </w:rPr>
      </w:pPr>
      <w:r w:rsidRPr="00C91AD4">
        <w:rPr>
          <w:rFonts w:eastAsia="Times New Roman"/>
          <w:lang w:eastAsia="hr-HR"/>
        </w:rPr>
        <w:t>-  utvrđivanje općih smjernica oblikovanja,</w:t>
      </w:r>
    </w:p>
    <w:p w:rsidR="00C91AD4" w:rsidRPr="00C91AD4" w:rsidRDefault="00C91AD4" w:rsidP="00C91AD4">
      <w:pPr>
        <w:jc w:val="both"/>
        <w:rPr>
          <w:rFonts w:eastAsia="Times New Roman"/>
          <w:lang w:eastAsia="hr-HR"/>
        </w:rPr>
      </w:pPr>
      <w:r w:rsidRPr="00C91AD4">
        <w:rPr>
          <w:rFonts w:eastAsia="Times New Roman"/>
          <w:lang w:eastAsia="hr-HR"/>
        </w:rPr>
        <w:t>- utvrđivanje smjernica za izgradnju komunalne infrastrukture i načina priključenja na komunalnu infrastrukturu,</w:t>
      </w:r>
    </w:p>
    <w:p w:rsidR="00C91AD4" w:rsidRPr="00C91AD4" w:rsidRDefault="00C91AD4" w:rsidP="00C91AD4">
      <w:pPr>
        <w:jc w:val="both"/>
        <w:rPr>
          <w:rFonts w:eastAsia="Times New Roman"/>
          <w:lang w:eastAsia="hr-HR"/>
        </w:rPr>
      </w:pPr>
      <w:r w:rsidRPr="00C91AD4">
        <w:rPr>
          <w:rFonts w:eastAsia="Times New Roman"/>
          <w:lang w:eastAsia="hr-HR"/>
        </w:rPr>
        <w:t>- određivanje mjera zaštite okoliša, prirodnih, krajobraznih, kulturno povijesnih i drugih vrijednosti, a sve sukladno Zakonu o prostornom uređenju, važećim propisima zaštite prirode i zaštite okoliša, te sukladno planovima višeg reda.</w:t>
      </w:r>
    </w:p>
    <w:p w:rsidR="00C91AD4" w:rsidRPr="00C91AD4" w:rsidRDefault="00C91AD4" w:rsidP="00C91AD4">
      <w:pPr>
        <w:jc w:val="both"/>
        <w:rPr>
          <w:rFonts w:eastAsia="Times New Roman"/>
          <w:lang w:eastAsia="hr-HR"/>
        </w:rPr>
      </w:pPr>
    </w:p>
    <w:p w:rsidR="00C91AD4" w:rsidRDefault="00C91AD4" w:rsidP="00C91AD4">
      <w:pPr>
        <w:jc w:val="both"/>
        <w:rPr>
          <w:rFonts w:eastAsia="Times New Roman"/>
          <w:lang w:eastAsia="hr-HR"/>
        </w:rPr>
      </w:pPr>
      <w:r w:rsidRPr="00C91AD4">
        <w:rPr>
          <w:rFonts w:eastAsia="Times New Roman"/>
          <w:lang w:eastAsia="hr-HR"/>
        </w:rPr>
        <w:t>Obuhvat UPU će se izraditi u grafičkom i tekstualnom dijelu za kopneni dio područja unutar granica obuhvata određenog grafičkim prikazom te za pripadajući dio akvatorija u širini od cca 150 metara od obalne crte.</w:t>
      </w:r>
    </w:p>
    <w:p w:rsidR="00C91AD4" w:rsidRDefault="00C91AD4" w:rsidP="000E3AA8">
      <w:pPr>
        <w:jc w:val="both"/>
        <w:rPr>
          <w:rFonts w:eastAsia="Times New Roman"/>
          <w:lang w:eastAsia="hr-HR"/>
        </w:rPr>
      </w:pPr>
    </w:p>
    <w:p w:rsidR="00A143AF" w:rsidRDefault="00305B76" w:rsidP="006D6CFE">
      <w:pPr>
        <w:rPr>
          <w:b/>
        </w:rPr>
      </w:pPr>
      <w:r w:rsidRPr="000121D2">
        <w:rPr>
          <w:b/>
        </w:rPr>
        <w:t>I</w:t>
      </w:r>
      <w:r w:rsidR="00F47C59" w:rsidRPr="000121D2">
        <w:rPr>
          <w:b/>
        </w:rPr>
        <w:t>I</w:t>
      </w:r>
      <w:r w:rsidR="00A465EC">
        <w:rPr>
          <w:b/>
        </w:rPr>
        <w:t>I</w:t>
      </w:r>
      <w:r w:rsidR="00F47C59" w:rsidRPr="000121D2">
        <w:rPr>
          <w:b/>
        </w:rPr>
        <w:t xml:space="preserve">. </w:t>
      </w:r>
      <w:r w:rsidR="003704A1" w:rsidRPr="000121D2">
        <w:rPr>
          <w:b/>
        </w:rPr>
        <w:t>Konačno utvrđen s</w:t>
      </w:r>
      <w:r w:rsidR="00F47C59" w:rsidRPr="000121D2">
        <w:rPr>
          <w:b/>
        </w:rPr>
        <w:t xml:space="preserve">adržaj </w:t>
      </w:r>
      <w:r w:rsidR="009A25A4">
        <w:rPr>
          <w:b/>
        </w:rPr>
        <w:t xml:space="preserve">studije </w:t>
      </w:r>
      <w:r w:rsidR="00F47C59" w:rsidRPr="000121D2">
        <w:rPr>
          <w:b/>
        </w:rPr>
        <w:t>strateš</w:t>
      </w:r>
      <w:r w:rsidR="009A25A4">
        <w:rPr>
          <w:b/>
        </w:rPr>
        <w:t xml:space="preserve">ke </w:t>
      </w:r>
      <w:r w:rsidR="003408FC">
        <w:rPr>
          <w:b/>
        </w:rPr>
        <w:t>procjene utjecaja na okoliš</w:t>
      </w:r>
      <w:r w:rsidR="00A465EC">
        <w:rPr>
          <w:b/>
        </w:rPr>
        <w:t xml:space="preserve"> </w:t>
      </w:r>
      <w:r w:rsidR="00532D62">
        <w:rPr>
          <w:b/>
        </w:rPr>
        <w:t>predmetnih Planova</w:t>
      </w:r>
    </w:p>
    <w:p w:rsidR="009A25A4" w:rsidRPr="000121D2" w:rsidRDefault="009A25A4" w:rsidP="006D6CFE">
      <w:pPr>
        <w:rPr>
          <w:b/>
        </w:rPr>
      </w:pPr>
    </w:p>
    <w:p w:rsidR="00F47C59" w:rsidRPr="000121D2" w:rsidRDefault="00F47C59" w:rsidP="003704A1">
      <w:pPr>
        <w:pStyle w:val="box453349"/>
        <w:spacing w:before="0" w:beforeAutospacing="0" w:after="48" w:afterAutospacing="0"/>
        <w:jc w:val="both"/>
        <w:textAlignment w:val="baseline"/>
        <w:rPr>
          <w:color w:val="231F20"/>
        </w:rPr>
      </w:pPr>
      <w:r w:rsidRPr="000121D2">
        <w:rPr>
          <w:color w:val="231F20"/>
        </w:rPr>
        <w:t>Strateška stu</w:t>
      </w:r>
      <w:r w:rsidR="003704A1" w:rsidRPr="000121D2">
        <w:rPr>
          <w:color w:val="231F20"/>
        </w:rPr>
        <w:t>dija sadrži</w:t>
      </w:r>
      <w:r w:rsidRPr="000121D2">
        <w:rPr>
          <w:color w:val="231F20"/>
        </w:rPr>
        <w:t>:</w:t>
      </w:r>
    </w:p>
    <w:p w:rsidR="00F47C59" w:rsidRPr="000121D2" w:rsidRDefault="00F47C59" w:rsidP="00BD1B68">
      <w:pPr>
        <w:pStyle w:val="box453349"/>
        <w:numPr>
          <w:ilvl w:val="0"/>
          <w:numId w:val="23"/>
        </w:numPr>
        <w:spacing w:before="0" w:beforeAutospacing="0" w:after="48" w:afterAutospacing="0"/>
        <w:textAlignment w:val="baseline"/>
        <w:rPr>
          <w:color w:val="231F20"/>
        </w:rPr>
      </w:pPr>
      <w:r w:rsidRPr="000121D2">
        <w:rPr>
          <w:color w:val="231F20"/>
        </w:rPr>
        <w:t xml:space="preserve">kratki pregled sadržaja i </w:t>
      </w:r>
      <w:r w:rsidR="008B6E55" w:rsidRPr="000121D2">
        <w:rPr>
          <w:color w:val="231F20"/>
        </w:rPr>
        <w:t xml:space="preserve">glavnih ciljeva </w:t>
      </w:r>
      <w:r w:rsidR="00532D62">
        <w:rPr>
          <w:color w:val="231F20"/>
        </w:rPr>
        <w:t>predmetnih Planova</w:t>
      </w:r>
      <w:r w:rsidRPr="000121D2">
        <w:rPr>
          <w:color w:val="231F20"/>
        </w:rPr>
        <w:t xml:space="preserve"> i odnosa s drugim odgovarajućim strategijama, planovima i programima</w:t>
      </w:r>
      <w:r w:rsidR="008B6E55" w:rsidRPr="000121D2">
        <w:rPr>
          <w:color w:val="231F20"/>
        </w:rPr>
        <w:t>,</w:t>
      </w:r>
    </w:p>
    <w:p w:rsidR="00F47C59" w:rsidRPr="000121D2" w:rsidRDefault="00F47C59" w:rsidP="00BD1B68">
      <w:pPr>
        <w:pStyle w:val="box453349"/>
        <w:numPr>
          <w:ilvl w:val="0"/>
          <w:numId w:val="23"/>
        </w:numPr>
        <w:spacing w:before="0" w:beforeAutospacing="0" w:after="48" w:afterAutospacing="0"/>
        <w:textAlignment w:val="baseline"/>
        <w:rPr>
          <w:color w:val="231F20"/>
        </w:rPr>
      </w:pPr>
      <w:r w:rsidRPr="000121D2">
        <w:rPr>
          <w:color w:val="231F20"/>
        </w:rPr>
        <w:t xml:space="preserve">podatke o postojećem stanju okoliša i mogući razvoj okoliša bez </w:t>
      </w:r>
      <w:r w:rsidR="00532D62">
        <w:rPr>
          <w:color w:val="231F20"/>
        </w:rPr>
        <w:t>predmetnih Planova</w:t>
      </w:r>
      <w:r w:rsidR="008B6E55" w:rsidRPr="000121D2">
        <w:rPr>
          <w:color w:val="231F20"/>
        </w:rPr>
        <w:t>,</w:t>
      </w:r>
    </w:p>
    <w:p w:rsidR="00F47C59" w:rsidRPr="000121D2" w:rsidRDefault="00F47C59" w:rsidP="00BD1B68">
      <w:pPr>
        <w:pStyle w:val="box453349"/>
        <w:numPr>
          <w:ilvl w:val="0"/>
          <w:numId w:val="23"/>
        </w:numPr>
        <w:spacing w:before="0" w:beforeAutospacing="0" w:after="48" w:afterAutospacing="0"/>
        <w:textAlignment w:val="baseline"/>
        <w:rPr>
          <w:color w:val="231F20"/>
        </w:rPr>
      </w:pPr>
      <w:r w:rsidRPr="000121D2">
        <w:rPr>
          <w:color w:val="231F20"/>
        </w:rPr>
        <w:t>okolišne značajke područja na koja provedba</w:t>
      </w:r>
      <w:r w:rsidR="009A25A4">
        <w:rPr>
          <w:color w:val="231F20"/>
        </w:rPr>
        <w:t xml:space="preserve"> </w:t>
      </w:r>
      <w:r w:rsidR="00532D62">
        <w:rPr>
          <w:color w:val="231F20"/>
        </w:rPr>
        <w:t>predmetnih Planova</w:t>
      </w:r>
      <w:r w:rsidRPr="000121D2">
        <w:rPr>
          <w:color w:val="231F20"/>
        </w:rPr>
        <w:t xml:space="preserve"> može značajno utjecati</w:t>
      </w:r>
      <w:r w:rsidR="008B6E55" w:rsidRPr="000121D2">
        <w:rPr>
          <w:color w:val="231F20"/>
        </w:rPr>
        <w:t>,</w:t>
      </w:r>
    </w:p>
    <w:p w:rsidR="00F47C59" w:rsidRPr="000121D2" w:rsidRDefault="00F47C59" w:rsidP="00BD1B68">
      <w:pPr>
        <w:pStyle w:val="box453349"/>
        <w:numPr>
          <w:ilvl w:val="0"/>
          <w:numId w:val="23"/>
        </w:numPr>
        <w:spacing w:before="0" w:beforeAutospacing="0" w:after="48" w:afterAutospacing="0"/>
        <w:textAlignment w:val="baseline"/>
        <w:rPr>
          <w:color w:val="231F20"/>
        </w:rPr>
      </w:pPr>
      <w:r w:rsidRPr="000121D2">
        <w:rPr>
          <w:color w:val="231F20"/>
        </w:rPr>
        <w:t>postojeće okol</w:t>
      </w:r>
      <w:r w:rsidR="008B6E55" w:rsidRPr="000121D2">
        <w:rPr>
          <w:color w:val="231F20"/>
        </w:rPr>
        <w:t xml:space="preserve">išne probleme koji su važni za </w:t>
      </w:r>
      <w:r w:rsidR="00532D62">
        <w:rPr>
          <w:color w:val="231F20"/>
        </w:rPr>
        <w:t>predmetne Planove</w:t>
      </w:r>
      <w:r w:rsidRPr="000121D2">
        <w:rPr>
          <w:color w:val="231F20"/>
        </w:rPr>
        <w:t>, posebno uključujući one koji se odnose na područja posebnog ekološkog značaja, primjerice područja određena u skladu s posebnim propisima o zaštiti prirode</w:t>
      </w:r>
    </w:p>
    <w:p w:rsidR="00F47C59" w:rsidRPr="000121D2" w:rsidRDefault="00F47C59" w:rsidP="00BD1B68">
      <w:pPr>
        <w:pStyle w:val="box453349"/>
        <w:numPr>
          <w:ilvl w:val="0"/>
          <w:numId w:val="23"/>
        </w:numPr>
        <w:spacing w:before="0" w:beforeAutospacing="0" w:after="48" w:afterAutospacing="0"/>
        <w:textAlignment w:val="baseline"/>
        <w:rPr>
          <w:color w:val="231F20"/>
        </w:rPr>
      </w:pPr>
      <w:r w:rsidRPr="000121D2">
        <w:rPr>
          <w:color w:val="231F20"/>
        </w:rPr>
        <w:t xml:space="preserve">ciljeve zaštite okoliša uspostavljene po zaključivanju međunarodnih ugovora i sporazuma, koji se odnose na strategiju, plan odnosno program, te način na koji su ti ciljevi i druga pitanja zaštite okoliša uzeti u obzir tijekom izrade </w:t>
      </w:r>
      <w:r w:rsidR="00532D62">
        <w:rPr>
          <w:color w:val="231F20"/>
        </w:rPr>
        <w:t>predmetnih Planova</w:t>
      </w:r>
      <w:r w:rsidRPr="000121D2">
        <w:rPr>
          <w:color w:val="231F20"/>
        </w:rPr>
        <w:t>,</w:t>
      </w:r>
    </w:p>
    <w:p w:rsidR="00F47C59" w:rsidRPr="000121D2" w:rsidRDefault="00F47C59" w:rsidP="00BD1B68">
      <w:pPr>
        <w:pStyle w:val="box453349"/>
        <w:numPr>
          <w:ilvl w:val="0"/>
          <w:numId w:val="23"/>
        </w:numPr>
        <w:spacing w:before="0" w:beforeAutospacing="0" w:after="48" w:afterAutospacing="0"/>
        <w:textAlignment w:val="baseline"/>
        <w:rPr>
          <w:color w:val="231F20"/>
        </w:rPr>
      </w:pPr>
      <w:r w:rsidRPr="000121D2">
        <w:rPr>
          <w:color w:val="231F20"/>
        </w:rPr>
        <w:t>vjerojatno značajne utjecaje (sekundarne, kumulativne, sinergijske, kratkoročne, srednjoročne i dugoročne, stalne i privremene, pozitivne i negativne) na okoliš, uključujući bioraznolikost, stanovništvo i zdravlje ljudi, tlo, vodu, more, zrak, klimu, materijalnu imovinu, kulturno-povijesnu baštinu, krajobraz, uzimajući u obzir njihove međuodnose</w:t>
      </w:r>
      <w:r w:rsidR="008B6E55" w:rsidRPr="000121D2">
        <w:rPr>
          <w:color w:val="231F20"/>
        </w:rPr>
        <w:t>,</w:t>
      </w:r>
    </w:p>
    <w:p w:rsidR="00F47C59" w:rsidRPr="000121D2" w:rsidRDefault="00F47C59" w:rsidP="00BD1B68">
      <w:pPr>
        <w:pStyle w:val="box453349"/>
        <w:numPr>
          <w:ilvl w:val="0"/>
          <w:numId w:val="23"/>
        </w:numPr>
        <w:spacing w:before="0" w:beforeAutospacing="0" w:after="48" w:afterAutospacing="0"/>
        <w:textAlignment w:val="baseline"/>
        <w:rPr>
          <w:color w:val="231F20"/>
        </w:rPr>
      </w:pPr>
      <w:r w:rsidRPr="000121D2">
        <w:rPr>
          <w:color w:val="231F20"/>
        </w:rPr>
        <w:t xml:space="preserve">mjere zaštite okoliša uključujući mjere sprječavanja, smanjenja i ublažavanja nepovoljnih utjecaja provedbe </w:t>
      </w:r>
      <w:r w:rsidR="00532D62">
        <w:rPr>
          <w:color w:val="231F20"/>
        </w:rPr>
        <w:t>predmetnih Planova</w:t>
      </w:r>
      <w:r w:rsidR="009A25A4">
        <w:rPr>
          <w:color w:val="231F20"/>
        </w:rPr>
        <w:t xml:space="preserve"> </w:t>
      </w:r>
      <w:r w:rsidRPr="000121D2">
        <w:rPr>
          <w:color w:val="231F20"/>
        </w:rPr>
        <w:t>na okoliš</w:t>
      </w:r>
      <w:r w:rsidR="008B6E55" w:rsidRPr="000121D2">
        <w:rPr>
          <w:color w:val="231F20"/>
        </w:rPr>
        <w:t>,</w:t>
      </w:r>
    </w:p>
    <w:p w:rsidR="00F47C59" w:rsidRPr="000121D2" w:rsidRDefault="00F47C59" w:rsidP="00BD1B68">
      <w:pPr>
        <w:pStyle w:val="box453349"/>
        <w:numPr>
          <w:ilvl w:val="0"/>
          <w:numId w:val="23"/>
        </w:numPr>
        <w:spacing w:before="0" w:beforeAutospacing="0" w:after="48" w:afterAutospacing="0"/>
        <w:textAlignment w:val="baseline"/>
        <w:rPr>
          <w:color w:val="231F20"/>
        </w:rPr>
      </w:pPr>
      <w:r w:rsidRPr="000121D2">
        <w:rPr>
          <w:color w:val="231F20"/>
        </w:rPr>
        <w:t>kratki prikaz razloga za odabir razmotrenih razumnih alternativ</w:t>
      </w:r>
      <w:r w:rsidR="009A25A4">
        <w:rPr>
          <w:color w:val="231F20"/>
        </w:rPr>
        <w:t>a</w:t>
      </w:r>
      <w:r w:rsidRPr="000121D2">
        <w:rPr>
          <w:color w:val="231F20"/>
        </w:rPr>
        <w:t xml:space="preserve">, obrazloženje najprihvatljivije razumne alternative </w:t>
      </w:r>
      <w:r w:rsidR="00532D62">
        <w:rPr>
          <w:color w:val="231F20"/>
        </w:rPr>
        <w:t>predmetnih Planova</w:t>
      </w:r>
      <w:r w:rsidRPr="000121D2">
        <w:rPr>
          <w:color w:val="231F20"/>
        </w:rPr>
        <w:t xml:space="preserve"> na okoliš uključujući i naznaku razmatranih razumnih alternativi i opis provedene procjene, uključujući i poteškoće (primjerice tehničke nedostatke ili nedostatke znanja i iskustva) pri prikupljanju potrebnih podataka</w:t>
      </w:r>
    </w:p>
    <w:p w:rsidR="00F47C59" w:rsidRDefault="00F47C59" w:rsidP="00BD1B68">
      <w:pPr>
        <w:pStyle w:val="box453349"/>
        <w:numPr>
          <w:ilvl w:val="0"/>
          <w:numId w:val="23"/>
        </w:numPr>
        <w:spacing w:before="0" w:beforeAutospacing="0" w:after="48" w:afterAutospacing="0"/>
        <w:textAlignment w:val="baseline"/>
        <w:rPr>
          <w:color w:val="231F20"/>
        </w:rPr>
      </w:pPr>
      <w:r w:rsidRPr="000121D2">
        <w:rPr>
          <w:color w:val="231F20"/>
        </w:rPr>
        <w:t>opis predviđenih mjera praćenja</w:t>
      </w:r>
      <w:r w:rsidR="008B6E55" w:rsidRPr="000121D2">
        <w:rPr>
          <w:color w:val="231F20"/>
        </w:rPr>
        <w:t>,</w:t>
      </w:r>
    </w:p>
    <w:p w:rsidR="00341AD0" w:rsidRPr="00341AD0" w:rsidRDefault="00341AD0" w:rsidP="00341AD0">
      <w:pPr>
        <w:pStyle w:val="box453349"/>
        <w:numPr>
          <w:ilvl w:val="0"/>
          <w:numId w:val="23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341AD0">
        <w:rPr>
          <w:color w:val="231F20"/>
        </w:rPr>
        <w:t xml:space="preserve">podaci o ekološkoj mreži (opis ekološke mreže na koje provedba </w:t>
      </w:r>
      <w:r w:rsidR="00532D62">
        <w:rPr>
          <w:color w:val="231F20"/>
        </w:rPr>
        <w:t>predmetnih Planova može</w:t>
      </w:r>
      <w:r w:rsidRPr="00341AD0">
        <w:rPr>
          <w:color w:val="231F20"/>
        </w:rPr>
        <w:t xml:space="preserve"> utjecati, </w:t>
      </w:r>
      <w:r>
        <w:rPr>
          <w:color w:val="231F20"/>
        </w:rPr>
        <w:t>k</w:t>
      </w:r>
      <w:r w:rsidRPr="00341AD0">
        <w:rPr>
          <w:color w:val="231F20"/>
        </w:rPr>
        <w:t>artografski prikaz područja ekološke mreže u odgovarajućem mjerilu sukladno</w:t>
      </w:r>
      <w:r w:rsidR="00532D62">
        <w:rPr>
          <w:color w:val="231F20"/>
        </w:rPr>
        <w:t xml:space="preserve"> mjerilu kartografskog prikaza predmetnih Planova)</w:t>
      </w:r>
      <w:r w:rsidRPr="00341AD0">
        <w:rPr>
          <w:color w:val="231F20"/>
        </w:rPr>
        <w:t xml:space="preserve">, </w:t>
      </w:r>
    </w:p>
    <w:p w:rsidR="00341AD0" w:rsidRDefault="00341AD0" w:rsidP="00341AD0">
      <w:pPr>
        <w:pStyle w:val="box453349"/>
        <w:numPr>
          <w:ilvl w:val="0"/>
          <w:numId w:val="23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341AD0">
        <w:rPr>
          <w:color w:val="231F20"/>
        </w:rPr>
        <w:t xml:space="preserve">opis mogućih značajnih utjecaja provedbe </w:t>
      </w:r>
      <w:r w:rsidR="00532D62">
        <w:rPr>
          <w:color w:val="231F20"/>
        </w:rPr>
        <w:t>predmetnih Planova</w:t>
      </w:r>
      <w:r w:rsidRPr="00341AD0">
        <w:rPr>
          <w:color w:val="231F20"/>
        </w:rPr>
        <w:t xml:space="preserve"> na ekološku mrežu (vjerojatnost, trajanje, učestalost, jačina i kumulativna priroda (procjena rizika) mogućih utjecaja provedbe </w:t>
      </w:r>
      <w:r w:rsidR="00532D62">
        <w:rPr>
          <w:color w:val="231F20"/>
        </w:rPr>
        <w:t>predmetnih Planova</w:t>
      </w:r>
      <w:r w:rsidRPr="00341AD0">
        <w:rPr>
          <w:color w:val="231F20"/>
        </w:rPr>
        <w:t xml:space="preserve"> na ekološku mrežu, </w:t>
      </w:r>
    </w:p>
    <w:p w:rsidR="00341AD0" w:rsidRDefault="00341AD0" w:rsidP="00341AD0">
      <w:pPr>
        <w:pStyle w:val="box453349"/>
        <w:numPr>
          <w:ilvl w:val="0"/>
          <w:numId w:val="23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prijedlog mjera ublažavanja negativnih utjecaja provedbe </w:t>
      </w:r>
      <w:r w:rsidR="00532D62">
        <w:rPr>
          <w:color w:val="231F20"/>
        </w:rPr>
        <w:t>predmetnih Planova</w:t>
      </w:r>
      <w:r>
        <w:rPr>
          <w:color w:val="231F20"/>
        </w:rPr>
        <w:t xml:space="preserve"> na ekološku mrežu,</w:t>
      </w:r>
    </w:p>
    <w:p w:rsidR="00341AD0" w:rsidRDefault="00341AD0" w:rsidP="00341AD0">
      <w:pPr>
        <w:pStyle w:val="box453349"/>
        <w:numPr>
          <w:ilvl w:val="0"/>
          <w:numId w:val="23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zaključak (konačna ocjena prihvatljivosti </w:t>
      </w:r>
      <w:r w:rsidR="00532D62">
        <w:rPr>
          <w:color w:val="231F20"/>
        </w:rPr>
        <w:t>predmetnih Planova</w:t>
      </w:r>
      <w:r>
        <w:rPr>
          <w:color w:val="231F20"/>
        </w:rPr>
        <w:t xml:space="preserve"> za ekološku mrežu uz primjenu predloženih mjera ublaživanja),</w:t>
      </w:r>
    </w:p>
    <w:p w:rsidR="00C91AD4" w:rsidRDefault="00341AD0" w:rsidP="00C91AD4">
      <w:pPr>
        <w:pStyle w:val="box453349"/>
        <w:numPr>
          <w:ilvl w:val="0"/>
          <w:numId w:val="23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ne-tehnički sažetak podataka uključujući sažetak glavne ocjene prihvatljivosti </w:t>
      </w:r>
      <w:r w:rsidR="00532D62">
        <w:rPr>
          <w:color w:val="231F20"/>
        </w:rPr>
        <w:t xml:space="preserve">predmetnih Planova </w:t>
      </w:r>
      <w:r>
        <w:rPr>
          <w:color w:val="231F20"/>
        </w:rPr>
        <w:t>za ekološku mrežu te naznaku r</w:t>
      </w:r>
      <w:r w:rsidR="00C91AD4">
        <w:rPr>
          <w:color w:val="231F20"/>
        </w:rPr>
        <w:t xml:space="preserve">azmatranih razumnih alternativa. </w:t>
      </w:r>
    </w:p>
    <w:p w:rsidR="00C91AD4" w:rsidRDefault="00C91AD4" w:rsidP="00C91AD4">
      <w:pPr>
        <w:pStyle w:val="box453349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341AD0" w:rsidRPr="00341AD0" w:rsidRDefault="00C91AD4" w:rsidP="00341AD0">
      <w:pPr>
        <w:pStyle w:val="box453349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Pri izradi studije strateške procjene utjecaja na okoliš uzeti će se u obzir i sva zaprimljena mišljenja u vezi određivanja sadržaja studije. </w:t>
      </w:r>
    </w:p>
    <w:p w:rsidR="0021082C" w:rsidRDefault="0021082C" w:rsidP="00305B76">
      <w:pPr>
        <w:rPr>
          <w:b/>
        </w:rPr>
      </w:pPr>
    </w:p>
    <w:p w:rsidR="00A143AF" w:rsidRPr="000121D2" w:rsidRDefault="00A143AF" w:rsidP="00305B76">
      <w:pPr>
        <w:rPr>
          <w:b/>
        </w:rPr>
      </w:pPr>
      <w:r w:rsidRPr="000121D2">
        <w:rPr>
          <w:b/>
        </w:rPr>
        <w:lastRenderedPageBreak/>
        <w:t>I</w:t>
      </w:r>
      <w:r w:rsidR="00A465EC">
        <w:rPr>
          <w:b/>
        </w:rPr>
        <w:t>V</w:t>
      </w:r>
      <w:r w:rsidRPr="000121D2">
        <w:rPr>
          <w:b/>
        </w:rPr>
        <w:t xml:space="preserve">. Popis </w:t>
      </w:r>
      <w:r w:rsidR="003704A1" w:rsidRPr="000121D2">
        <w:rPr>
          <w:b/>
        </w:rPr>
        <w:t>i mišljenja tijela i/ili osoba određenih posebnim propisima koja su sudjelovala u postupku</w:t>
      </w:r>
      <w:r w:rsidRPr="000121D2">
        <w:rPr>
          <w:b/>
        </w:rPr>
        <w:t xml:space="preserve"> </w:t>
      </w:r>
      <w:r w:rsidR="00A465EC">
        <w:rPr>
          <w:b/>
        </w:rPr>
        <w:t>određivanja sadržaja studije strateške procjene</w:t>
      </w:r>
      <w:r w:rsidR="003408FC">
        <w:rPr>
          <w:b/>
        </w:rPr>
        <w:t xml:space="preserve"> </w:t>
      </w:r>
    </w:p>
    <w:p w:rsidR="009A25A4" w:rsidRDefault="009A25A4" w:rsidP="009A25A4">
      <w:pPr>
        <w:rPr>
          <w:sz w:val="28"/>
        </w:rPr>
      </w:pPr>
    </w:p>
    <w:p w:rsidR="00102623" w:rsidRPr="00933AAB" w:rsidRDefault="00102623" w:rsidP="00102623">
      <w:pPr>
        <w:pStyle w:val="Odlomakpopisa"/>
        <w:numPr>
          <w:ilvl w:val="0"/>
          <w:numId w:val="10"/>
        </w:numPr>
        <w:rPr>
          <w:szCs w:val="22"/>
        </w:rPr>
      </w:pPr>
      <w:r w:rsidRPr="00933AAB">
        <w:rPr>
          <w:szCs w:val="22"/>
        </w:rPr>
        <w:t xml:space="preserve">Ministarstvo kulture, Uprava za zaštitu kulturne baštine, Konzervatorski odjel u </w:t>
      </w:r>
      <w:r>
        <w:rPr>
          <w:szCs w:val="22"/>
        </w:rPr>
        <w:t xml:space="preserve">Splitu, </w:t>
      </w:r>
      <w:proofErr w:type="spellStart"/>
      <w:r>
        <w:rPr>
          <w:szCs w:val="22"/>
        </w:rPr>
        <w:t>Porinova</w:t>
      </w:r>
      <w:proofErr w:type="spellEnd"/>
      <w:r>
        <w:rPr>
          <w:szCs w:val="22"/>
        </w:rPr>
        <w:t xml:space="preserve"> 2, 21000 Split,</w:t>
      </w:r>
    </w:p>
    <w:p w:rsidR="00102623" w:rsidRPr="00933AAB" w:rsidRDefault="00102623" w:rsidP="00102623">
      <w:pPr>
        <w:pStyle w:val="Odlomakpopisa"/>
        <w:numPr>
          <w:ilvl w:val="0"/>
          <w:numId w:val="10"/>
        </w:numPr>
        <w:rPr>
          <w:szCs w:val="22"/>
        </w:rPr>
      </w:pPr>
      <w:r w:rsidRPr="00933AAB">
        <w:rPr>
          <w:szCs w:val="22"/>
        </w:rPr>
        <w:t xml:space="preserve">Upravni odjel za komunalne poslove, komunalnu infrastrukturu i zaštitu okoliša Splitsko-dalmatinske županije, Bihaćka 1, 21000 Split </w:t>
      </w:r>
    </w:p>
    <w:p w:rsidR="00102623" w:rsidRPr="00933AAB" w:rsidRDefault="00102623" w:rsidP="00102623">
      <w:pPr>
        <w:pStyle w:val="Odlomakpopisa"/>
        <w:numPr>
          <w:ilvl w:val="0"/>
          <w:numId w:val="10"/>
        </w:numPr>
        <w:rPr>
          <w:szCs w:val="22"/>
        </w:rPr>
      </w:pPr>
      <w:r w:rsidRPr="00933AAB">
        <w:rPr>
          <w:szCs w:val="22"/>
        </w:rPr>
        <w:t>Upravni odjel za graditeljstvo i prostorno uređenje Splitsko-dalmatinske županije, Domovinskog rata 2/IV, 21000 Split</w:t>
      </w:r>
    </w:p>
    <w:p w:rsidR="00102623" w:rsidRDefault="00102623" w:rsidP="00102623">
      <w:pPr>
        <w:pStyle w:val="Odlomakpopisa"/>
        <w:numPr>
          <w:ilvl w:val="0"/>
          <w:numId w:val="10"/>
        </w:numPr>
        <w:rPr>
          <w:szCs w:val="22"/>
        </w:rPr>
      </w:pPr>
      <w:r w:rsidRPr="00933AAB">
        <w:rPr>
          <w:szCs w:val="22"/>
        </w:rPr>
        <w:t>Upravni odjel za turizam i pomorstvo Splitsko-dalmatinske županije, Domovinskog rata 2/IV, 21000 Split</w:t>
      </w:r>
    </w:p>
    <w:p w:rsidR="00102623" w:rsidRPr="00933AAB" w:rsidRDefault="00102623" w:rsidP="00102623">
      <w:pPr>
        <w:pStyle w:val="Odlomakpopisa"/>
        <w:numPr>
          <w:ilvl w:val="0"/>
          <w:numId w:val="10"/>
        </w:numPr>
        <w:rPr>
          <w:szCs w:val="22"/>
        </w:rPr>
      </w:pPr>
      <w:r>
        <w:rPr>
          <w:szCs w:val="22"/>
        </w:rPr>
        <w:t>Upravni odjel za gospodarstvo, EU fondove i poljoprivredu Splitsko-dalmatinske županije, Domovinskog rata 2/IV, 21000 Split</w:t>
      </w:r>
    </w:p>
    <w:p w:rsidR="00102623" w:rsidRPr="00933AAB" w:rsidRDefault="00102623" w:rsidP="00102623">
      <w:pPr>
        <w:pStyle w:val="Odlomakpopisa"/>
        <w:numPr>
          <w:ilvl w:val="0"/>
          <w:numId w:val="10"/>
        </w:numPr>
        <w:rPr>
          <w:szCs w:val="22"/>
        </w:rPr>
      </w:pPr>
      <w:r w:rsidRPr="00933AAB">
        <w:rPr>
          <w:szCs w:val="22"/>
        </w:rPr>
        <w:t xml:space="preserve">Hrvatske vode, </w:t>
      </w:r>
      <w:proofErr w:type="spellStart"/>
      <w:r w:rsidRPr="00933AAB">
        <w:rPr>
          <w:szCs w:val="22"/>
        </w:rPr>
        <w:t>Vodnogospodarski</w:t>
      </w:r>
      <w:proofErr w:type="spellEnd"/>
      <w:r w:rsidRPr="00933AAB">
        <w:rPr>
          <w:szCs w:val="22"/>
        </w:rPr>
        <w:t xml:space="preserve"> odjel za slivove južnog Jadrana, Vukovarska 35, p.p. 475, 21000 Split </w:t>
      </w:r>
    </w:p>
    <w:p w:rsidR="00102623" w:rsidRPr="00933AAB" w:rsidRDefault="00102623" w:rsidP="00102623">
      <w:pPr>
        <w:pStyle w:val="Odlomakpopisa"/>
        <w:numPr>
          <w:ilvl w:val="0"/>
          <w:numId w:val="10"/>
        </w:numPr>
        <w:rPr>
          <w:szCs w:val="22"/>
        </w:rPr>
      </w:pPr>
      <w:r w:rsidRPr="00933AAB">
        <w:rPr>
          <w:szCs w:val="22"/>
        </w:rPr>
        <w:t>Hrvatske šume, UŠP Split, Kralja Zvonimira 35/III, 21 000 Split</w:t>
      </w:r>
    </w:p>
    <w:p w:rsidR="00102623" w:rsidRPr="00933AAB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 w:rsidRPr="00933AAB">
        <w:rPr>
          <w:rFonts w:eastAsia="Times New Roman"/>
          <w:szCs w:val="22"/>
        </w:rPr>
        <w:t>Županijska uprava za ceste na području Splitsko-dalmatinske županije, Ruđera Boškovića 22, 21000 Split</w:t>
      </w:r>
    </w:p>
    <w:p w:rsidR="00102623" w:rsidRPr="00933AAB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 w:rsidRPr="00933AAB">
        <w:rPr>
          <w:rFonts w:eastAsia="Times New Roman"/>
          <w:szCs w:val="22"/>
        </w:rPr>
        <w:t xml:space="preserve">Hrvatske ceste, Ruđera Boškovića 22, Split </w:t>
      </w:r>
    </w:p>
    <w:p w:rsidR="00102623" w:rsidRPr="00933AAB" w:rsidRDefault="00102623" w:rsidP="00102623">
      <w:pPr>
        <w:pStyle w:val="Odlomakpopisa"/>
        <w:numPr>
          <w:ilvl w:val="0"/>
          <w:numId w:val="10"/>
        </w:numPr>
        <w:rPr>
          <w:szCs w:val="22"/>
        </w:rPr>
      </w:pPr>
      <w:r w:rsidRPr="00933AAB">
        <w:rPr>
          <w:szCs w:val="22"/>
        </w:rPr>
        <w:t>HEP – Operator prijenosnog sustava d.o.o., Prijenosno područje Split, Ulica kneza Ljudevita Posavskog 5, 21000 Split</w:t>
      </w:r>
    </w:p>
    <w:p w:rsidR="00102623" w:rsidRPr="00933AAB" w:rsidRDefault="00102623" w:rsidP="00102623">
      <w:pPr>
        <w:pStyle w:val="Odlomakpopisa"/>
        <w:numPr>
          <w:ilvl w:val="0"/>
          <w:numId w:val="10"/>
        </w:numPr>
        <w:rPr>
          <w:szCs w:val="22"/>
        </w:rPr>
      </w:pPr>
      <w:r w:rsidRPr="00933AAB">
        <w:rPr>
          <w:szCs w:val="22"/>
        </w:rPr>
        <w:t>MUP – Policijska uprava Splitsko-dalmatinska, Sektor upravnih, inspekcijskih i poslova civilne zaštite, Trg Hrvatske bratske zajednice 9, 21000 Split</w:t>
      </w:r>
    </w:p>
    <w:p w:rsidR="00102623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 w:rsidRPr="00933AAB">
        <w:rPr>
          <w:rFonts w:eastAsia="Times New Roman"/>
          <w:szCs w:val="22"/>
        </w:rPr>
        <w:t xml:space="preserve">Nastavni Zavod za javno zdravstvo Splitsko-dalmatinske županije, Vukovarska ulica 46, Split </w:t>
      </w:r>
    </w:p>
    <w:p w:rsidR="00102623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Državna uprava za zaštitu i spašavanje, Moliških Hrvata 1, 21000 Split,</w:t>
      </w:r>
    </w:p>
    <w:p w:rsidR="00102623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Javna Ustanova za upravljanje zaštićenim područjima Splitsko-dalmatinske županije, Prilaz braće Kaliterne 10, 21000 Split, </w:t>
      </w:r>
    </w:p>
    <w:p w:rsidR="00102623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Vodovod d.o.o., Makarska, Obala Kralja Tomislava 15, 21300 Makarska,</w:t>
      </w:r>
    </w:p>
    <w:p w:rsidR="00102623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 w:rsidRPr="00102623">
        <w:rPr>
          <w:rFonts w:eastAsia="Times New Roman"/>
          <w:szCs w:val="22"/>
        </w:rPr>
        <w:t xml:space="preserve">Makarski komunalac d.o.o., </w:t>
      </w:r>
      <w:r>
        <w:rPr>
          <w:rFonts w:eastAsia="Times New Roman"/>
          <w:szCs w:val="22"/>
        </w:rPr>
        <w:t>Trg Tina Ujevića 1, 21300 Makarska,</w:t>
      </w:r>
    </w:p>
    <w:p w:rsidR="00102623" w:rsidRPr="00102623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 w:rsidRPr="00102623">
        <w:rPr>
          <w:rFonts w:eastAsia="Times New Roman"/>
          <w:szCs w:val="22"/>
        </w:rPr>
        <w:t xml:space="preserve">EVN Croatia plin d.o.o., </w:t>
      </w:r>
      <w:r>
        <w:rPr>
          <w:rFonts w:eastAsia="Times New Roman"/>
          <w:szCs w:val="22"/>
        </w:rPr>
        <w:t>Zagrebačka Avenija 104, 10 000 Zagreb,</w:t>
      </w:r>
    </w:p>
    <w:p w:rsidR="00102623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Javna Ustanova Park Prirode Biokovo, Franjevački Put 2a, 21300 Makarska,</w:t>
      </w:r>
    </w:p>
    <w:p w:rsidR="00102623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Lučka kapetanija, Obala Lazareta 1, 21000 Split,</w:t>
      </w:r>
    </w:p>
    <w:p w:rsidR="00102623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Općina Tučepi, Kraj 39a, 21325 Tučepi,</w:t>
      </w:r>
    </w:p>
    <w:p w:rsidR="00102623" w:rsidRDefault="00102623" w:rsidP="00102623">
      <w:pPr>
        <w:numPr>
          <w:ilvl w:val="0"/>
          <w:numId w:val="10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Općina Baška Voda, Obala sv. Nikole 65, 21320 Baška Voda,</w:t>
      </w:r>
    </w:p>
    <w:p w:rsidR="00C91AD4" w:rsidRPr="00C45254" w:rsidRDefault="00102623" w:rsidP="000E3AA8">
      <w:pPr>
        <w:numPr>
          <w:ilvl w:val="0"/>
          <w:numId w:val="10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Općina Zagvozd, Ulica dr. Franje Tuđmana 65, 21270 Zagvozd</w:t>
      </w:r>
    </w:p>
    <w:p w:rsidR="00C91AD4" w:rsidRDefault="00C91AD4" w:rsidP="000E3AA8">
      <w:pPr>
        <w:rPr>
          <w:rFonts w:eastAsia="Times New Roman"/>
        </w:rPr>
      </w:pPr>
    </w:p>
    <w:p w:rsidR="00A143AF" w:rsidRDefault="00A143AF" w:rsidP="00305B76">
      <w:r w:rsidRPr="000121D2">
        <w:t>U vremenu trajanja roka za dostavu mišljenja i prijedloga za sadržaj strateške studije, mišljenja i prijedloge o sadržaju strateške studije</w:t>
      </w:r>
      <w:r w:rsidR="008B5AD8" w:rsidRPr="000121D2">
        <w:t xml:space="preserve"> </w:t>
      </w:r>
      <w:r w:rsidRPr="000121D2">
        <w:t>dostav</w:t>
      </w:r>
      <w:r w:rsidR="008B5AD8" w:rsidRPr="000121D2">
        <w:t xml:space="preserve">ljena su mišljenja </w:t>
      </w:r>
      <w:r w:rsidR="00FB34C2">
        <w:t>8</w:t>
      </w:r>
      <w:r w:rsidR="008B5AD8" w:rsidRPr="000121D2">
        <w:t xml:space="preserve"> tijela (od ukupno 2</w:t>
      </w:r>
      <w:r w:rsidR="00102623">
        <w:t>2</w:t>
      </w:r>
      <w:r w:rsidR="008B5AD8" w:rsidRPr="000121D2">
        <w:t xml:space="preserve">) o sadržaju strateške studije </w:t>
      </w:r>
      <w:r w:rsidR="00B3688E" w:rsidRPr="000121D2">
        <w:t>kako slijedi</w:t>
      </w:r>
      <w:r w:rsidRPr="000121D2">
        <w:t xml:space="preserve">: </w:t>
      </w:r>
    </w:p>
    <w:p w:rsidR="00102623" w:rsidRDefault="00102623" w:rsidP="00305B76"/>
    <w:p w:rsidR="0087550D" w:rsidRDefault="0087550D" w:rsidP="00864DF2">
      <w:pPr>
        <w:pStyle w:val="Odlomakpopisa"/>
        <w:numPr>
          <w:ilvl w:val="0"/>
          <w:numId w:val="23"/>
        </w:numPr>
      </w:pPr>
      <w:r>
        <w:t xml:space="preserve">Ministarstvo unutarnjih poslova, Policijska uprava Splitsko-dalmatinska, Sektor upravnih i inspekcijskih poslova, Inspektorat unutarnjih poslova, mišljenje od 24. siječnja 2019. (BROJ: 511-12-21-895/2-2019-H.D.) u kojem je u bitnom navedeno da se prilikom donošenja prostorno planskih dokumenata potrebno pridržavati svih propisanih mjera zaštite od požara; </w:t>
      </w:r>
    </w:p>
    <w:p w:rsidR="0087550D" w:rsidRDefault="0087550D" w:rsidP="0087550D">
      <w:pPr>
        <w:pStyle w:val="Odlomakpopisa"/>
      </w:pPr>
    </w:p>
    <w:p w:rsidR="0087550D" w:rsidRDefault="0087550D" w:rsidP="00C9453B">
      <w:pPr>
        <w:pStyle w:val="Odlomakpopisa"/>
        <w:numPr>
          <w:ilvl w:val="0"/>
          <w:numId w:val="23"/>
        </w:numPr>
      </w:pPr>
      <w:r>
        <w:t xml:space="preserve">Upravni odjel za turizam i pomorstvo Splitsko-dalmatinske županije, mišljenje od 31. siječnja 2019. (KLASA: 350-01/19-01/0010, URBROJ: 2181/1-06/03-19-0002) u kojem je u bitnom navedeno da se potrebno pridržavati Pravilnika o gospodarskom korištenju, korištenju ili gradnji građevina i posebnoj upotrebi pomorskog dobra na području Splitsko-dalmatinske županije („Službeni glasnik Splitsko-dalmatinske županije“ broj 110/17); </w:t>
      </w:r>
    </w:p>
    <w:p w:rsidR="00902A27" w:rsidRDefault="00902A27" w:rsidP="00902A27"/>
    <w:p w:rsidR="0087550D" w:rsidRDefault="0087550D" w:rsidP="0087550D">
      <w:pPr>
        <w:pStyle w:val="Odlomakpopisa"/>
        <w:numPr>
          <w:ilvl w:val="0"/>
          <w:numId w:val="23"/>
        </w:numPr>
      </w:pPr>
      <w:r>
        <w:t xml:space="preserve">Hrvatske ceste d.o.o., Sektor za razvoj i strateško planiranje, Odjel za razvoj i planiranje, mišljenje od 12. veljače 2019. (KLASA: 350-02/19-1/14, URBROJ: 345-200-210-211/517-19-02/TZ) u kojem je u bitnom navedeno da </w:t>
      </w:r>
      <w:r w:rsidR="00DA2961">
        <w:t xml:space="preserve">budući nisu planirane izmjene vezane uz zahvate na državnim cestama nema posebnih zahtjeva vezano uz sadržaj strateške studije, </w:t>
      </w:r>
    </w:p>
    <w:p w:rsidR="00DA2961" w:rsidRDefault="00DA2961" w:rsidP="00DA2961">
      <w:pPr>
        <w:pStyle w:val="Odlomakpopisa"/>
      </w:pPr>
    </w:p>
    <w:p w:rsidR="0087550D" w:rsidRDefault="00DA2961" w:rsidP="0087550D">
      <w:pPr>
        <w:pStyle w:val="Odlomakpopisa"/>
        <w:numPr>
          <w:ilvl w:val="0"/>
          <w:numId w:val="23"/>
        </w:numPr>
      </w:pPr>
      <w:r>
        <w:t xml:space="preserve">Hrvatske šume d.o.o., mišljenje od 13. veljače 2019. (KLASA: ST-06-09-3502, URBROJ: 15-00-06/03-19-19) u kojem je u bitnom navedeno da se u stratešku studiju uključe podaci o trenutnom stanju šuma i šumskog zemljišta, moguće negativne i štetne utjecaje izmjena i dopuna na šume i šumsko zemljište te mjere zaštite šumskih ekosustava uključujući mjere sprečavanja, smanjenja, ublažavanja i kompenzacije nepovoljnih utjecaja nastalih provedbom plana na šume i šumsko zemljište kojima gospodare Hrvatske šume d.o.o. uzimajući u obzir i općekorisne funkcije šuma. </w:t>
      </w:r>
    </w:p>
    <w:p w:rsidR="0087550D" w:rsidRDefault="0087550D" w:rsidP="0087550D"/>
    <w:p w:rsidR="00102623" w:rsidRDefault="00102623" w:rsidP="00864DF2">
      <w:pPr>
        <w:pStyle w:val="Odlomakpopisa"/>
        <w:numPr>
          <w:ilvl w:val="0"/>
          <w:numId w:val="23"/>
        </w:numPr>
      </w:pPr>
      <w:r>
        <w:t>Javna Ustanova Park Prirode Biokovo, mišljenje od 15. veljače 2019. (URBROJ: 2147/01-26-124/2019) u kojem je u bitnom navedeno da studija strateške procjene treba sadržavati i poglavlje glavne ocjene prihvatljivosti za ekološku mrežu, sagledati pojedinačne i skupne utjecaje planiranih zahvata na sastavnice okoliša, prirode i ekolo</w:t>
      </w:r>
      <w:r w:rsidR="00EA0176">
        <w:t>ške mreže te aspekta krajobraza; sagledati kumulativne utjecaje predmetnih Planova u odnosu na ciljeve i polazišta, odnosno postojeće odredbe Plana vezanim uz planiranje poslovno-gospodarske zone unutar navedenog POVS-a; sagledati kvantificirani utjecaj trajnog gubitka staništa ciljnih vrsta crvenkapica (</w:t>
      </w:r>
      <w:proofErr w:type="spellStart"/>
      <w:r w:rsidR="00EA0176">
        <w:t>Zamenis</w:t>
      </w:r>
      <w:proofErr w:type="spellEnd"/>
      <w:r w:rsidR="00EA0176">
        <w:t xml:space="preserve"> </w:t>
      </w:r>
      <w:proofErr w:type="spellStart"/>
      <w:r w:rsidR="00EA0176">
        <w:t>situla</w:t>
      </w:r>
      <w:proofErr w:type="spellEnd"/>
      <w:r w:rsidR="00EA0176">
        <w:t>) i žuti mukač (</w:t>
      </w:r>
      <w:proofErr w:type="spellStart"/>
      <w:r w:rsidR="00EA0176">
        <w:t>Bombina</w:t>
      </w:r>
      <w:proofErr w:type="spellEnd"/>
      <w:r w:rsidR="00EA0176">
        <w:t xml:space="preserve"> </w:t>
      </w:r>
      <w:proofErr w:type="spellStart"/>
      <w:r w:rsidR="00EA0176">
        <w:t>varieagata</w:t>
      </w:r>
      <w:proofErr w:type="spellEnd"/>
      <w:r w:rsidR="00EA0176">
        <w:t xml:space="preserve">), a u slučaju značajnog utjecaja predložiti i mjere ublažavanja. Sagledati kumulativne utjecaje navedenih zahvata na područje Parka prirode Biokovo, Područje očuvanja značajno za vrste i stanišne tipove (POVS) „HR5000030 Biokovo“ i Područje očuvanja značajno za ptice (POP) „HR1000030 Biokovo i </w:t>
      </w:r>
      <w:proofErr w:type="spellStart"/>
      <w:r w:rsidR="00EA0176">
        <w:t>Rilić</w:t>
      </w:r>
      <w:proofErr w:type="spellEnd"/>
      <w:r w:rsidR="00EA0176">
        <w:t xml:space="preserve">“, kao i na područje Biokovskog botaničkog vrta </w:t>
      </w:r>
      <w:proofErr w:type="spellStart"/>
      <w:r w:rsidR="00EA0176">
        <w:t>Kotišina</w:t>
      </w:r>
      <w:proofErr w:type="spellEnd"/>
      <w:r w:rsidR="00EA0176">
        <w:t xml:space="preserve"> te njegove krajobrazne, prirodne i okolišne vrijednosti te na potok </w:t>
      </w:r>
      <w:proofErr w:type="spellStart"/>
      <w:r w:rsidR="00EA0176">
        <w:t>Proslap</w:t>
      </w:r>
      <w:proofErr w:type="spellEnd"/>
      <w:r w:rsidR="00EA0176">
        <w:t xml:space="preserve">. Za planirane trase zaobilaznice i prometnica, planiranu trasu žičare </w:t>
      </w:r>
      <w:proofErr w:type="spellStart"/>
      <w:r w:rsidR="00EA0176">
        <w:t>Vepric-Baškovići</w:t>
      </w:r>
      <w:proofErr w:type="spellEnd"/>
      <w:r w:rsidR="00EA0176">
        <w:t xml:space="preserve"> te za proširenje građevinskog područja u okviru izmjena i dopuna Plana, a koja se nalaze u neposrednoj blizini granice Parka prirode Biokovo odnosno granice Područja očuvanja značajnog za vrste i stanišne tipove (POVS) „HR</w:t>
      </w:r>
      <w:r w:rsidR="00864DF2">
        <w:t xml:space="preserve"> </w:t>
      </w:r>
      <w:r w:rsidR="00864DF2" w:rsidRPr="00864DF2">
        <w:t>HR5000030 Biokovo“ i Područje očuvanja značajno za ptice (P</w:t>
      </w:r>
      <w:r w:rsidR="00864DF2">
        <w:t xml:space="preserve">OP) „HR1000030 Biokovo i </w:t>
      </w:r>
      <w:proofErr w:type="spellStart"/>
      <w:r w:rsidR="00864DF2">
        <w:t>Rilić</w:t>
      </w:r>
      <w:proofErr w:type="spellEnd"/>
      <w:r w:rsidR="00864DF2">
        <w:t xml:space="preserve">“ također je potrebno sagledati utjecaje na sastavnice okoliša, prirode i ekološke mreže te sa aspekta krajobraza; </w:t>
      </w:r>
    </w:p>
    <w:p w:rsidR="00DA2961" w:rsidRDefault="00DA2961" w:rsidP="00DA2961"/>
    <w:p w:rsidR="00DA2961" w:rsidRDefault="00DA2961" w:rsidP="00DA2961">
      <w:pPr>
        <w:pStyle w:val="Odlomakpopisa"/>
        <w:numPr>
          <w:ilvl w:val="0"/>
          <w:numId w:val="23"/>
        </w:numPr>
      </w:pPr>
      <w:r>
        <w:t xml:space="preserve">Hrvatske vode, </w:t>
      </w:r>
      <w:proofErr w:type="spellStart"/>
      <w:r>
        <w:t>Vodnogospodarski</w:t>
      </w:r>
      <w:proofErr w:type="spellEnd"/>
      <w:r>
        <w:t xml:space="preserve"> odjel za slivove južnog Jadrana, mišljenje od 07. ožujka 2019. (KLASA: 351-03/19-01/0000018, URBROJ: 374-24-1-19-2) u kojem je u bitnom navedeno da je pri izradi Strateške studije za predmetne Planove potrebno uzeti u obzir prethodno dane smjernice za njihovu izradu, kao i do sada prihvaćena </w:t>
      </w:r>
      <w:r>
        <w:lastRenderedPageBreak/>
        <w:t xml:space="preserve">rješenja korištenja voda te zaštite voda i priobalnog mora na području Grada Makarske; </w:t>
      </w:r>
    </w:p>
    <w:p w:rsidR="00864DF2" w:rsidRDefault="00864DF2" w:rsidP="00864DF2">
      <w:pPr>
        <w:pStyle w:val="Odlomakpopisa"/>
      </w:pPr>
    </w:p>
    <w:p w:rsidR="00864DF2" w:rsidRPr="000121D2" w:rsidRDefault="00864DF2" w:rsidP="00864DF2">
      <w:pPr>
        <w:pStyle w:val="Odlomakpopisa"/>
        <w:numPr>
          <w:ilvl w:val="0"/>
          <w:numId w:val="23"/>
        </w:numPr>
      </w:pPr>
      <w:r>
        <w:t>Makarski Komunalac d.o.o., mišljenje od 15. veljače 2019. (UBROJ: 52/02) u kojem se u bitnom navode primjedbe na prijedlog ID PPU Grada Makarske, dodatnih zahtjeva vezano za sadržaj studije strateške p</w:t>
      </w:r>
      <w:r w:rsidR="00DA2961">
        <w:t>rocjene utjecaja na okoliš nema.</w:t>
      </w:r>
      <w:r>
        <w:t xml:space="preserve"> </w:t>
      </w:r>
    </w:p>
    <w:p w:rsidR="000121D2" w:rsidRDefault="000121D2" w:rsidP="00A143AF"/>
    <w:p w:rsidR="00EF0D3A" w:rsidRPr="00A465EC" w:rsidRDefault="00EF0D3A" w:rsidP="00A143AF">
      <w:pPr>
        <w:rPr>
          <w:b/>
        </w:rPr>
      </w:pPr>
      <w:r w:rsidRPr="00A465EC">
        <w:rPr>
          <w:b/>
        </w:rPr>
        <w:t xml:space="preserve">V. Informiranje javnosti </w:t>
      </w:r>
    </w:p>
    <w:p w:rsidR="00EF0D3A" w:rsidRDefault="00A465EC" w:rsidP="00A143AF">
      <w:r>
        <w:t>U okviru postupka određiv</w:t>
      </w:r>
      <w:r w:rsidR="006B7D28">
        <w:t xml:space="preserve">anja sadržaja strateške studije, sukladno st. 4 čl. 9. Uredbe o strateškoj procjeni utjecaja strategije, plana i programa na okoliš, </w:t>
      </w:r>
      <w:r>
        <w:t xml:space="preserve">održane su konzultacije o sadržaju strateške studije dana </w:t>
      </w:r>
      <w:r w:rsidR="00864DF2">
        <w:t>01</w:t>
      </w:r>
      <w:r>
        <w:t xml:space="preserve">. </w:t>
      </w:r>
      <w:r w:rsidR="00864DF2">
        <w:t>veljače</w:t>
      </w:r>
      <w:r>
        <w:t xml:space="preserve"> 201</w:t>
      </w:r>
      <w:r w:rsidR="00864DF2">
        <w:t>9</w:t>
      </w:r>
      <w:r>
        <w:t xml:space="preserve">. </w:t>
      </w:r>
      <w:r w:rsidR="00255066">
        <w:t xml:space="preserve">s početkom </w:t>
      </w:r>
      <w:r>
        <w:t xml:space="preserve">u 11,00 sati u prostorijama </w:t>
      </w:r>
      <w:r w:rsidR="00255066">
        <w:t xml:space="preserve">Grada </w:t>
      </w:r>
      <w:r w:rsidR="00864DF2">
        <w:t>Makarske</w:t>
      </w:r>
      <w:r>
        <w:t xml:space="preserve">, </w:t>
      </w:r>
      <w:r w:rsidR="00864DF2">
        <w:t xml:space="preserve">Obala Kralja Tomislava 1, 21300 Makarska. </w:t>
      </w:r>
      <w:r w:rsidR="006B7D28">
        <w:t xml:space="preserve"> </w:t>
      </w:r>
    </w:p>
    <w:p w:rsidR="00255066" w:rsidRPr="000121D2" w:rsidRDefault="00255066" w:rsidP="00A143AF"/>
    <w:p w:rsidR="00BA18D9" w:rsidRPr="000121D2" w:rsidRDefault="00BA18D9" w:rsidP="00A143AF">
      <w:pPr>
        <w:rPr>
          <w:b/>
        </w:rPr>
      </w:pPr>
      <w:r w:rsidRPr="000121D2">
        <w:rPr>
          <w:b/>
        </w:rPr>
        <w:t>V</w:t>
      </w:r>
      <w:r w:rsidR="006B7D28">
        <w:rPr>
          <w:b/>
        </w:rPr>
        <w:t>I</w:t>
      </w:r>
      <w:r w:rsidR="00C91AD4">
        <w:rPr>
          <w:b/>
        </w:rPr>
        <w:t>. Podaci o izrađivaču prijedloga predmetnih Planova</w:t>
      </w:r>
      <w:r w:rsidR="000652BC" w:rsidRPr="000121D2">
        <w:rPr>
          <w:b/>
        </w:rPr>
        <w:t xml:space="preserve"> </w:t>
      </w:r>
    </w:p>
    <w:p w:rsidR="00DA2961" w:rsidRDefault="000652BC" w:rsidP="00A143AF">
      <w:r w:rsidRPr="000121D2">
        <w:t xml:space="preserve">Izrađivač </w:t>
      </w:r>
      <w:r w:rsidR="00577723">
        <w:t xml:space="preserve">ID PPU </w:t>
      </w:r>
      <w:r w:rsidR="00C91AD4">
        <w:t xml:space="preserve">Grada Makarske </w:t>
      </w:r>
      <w:r w:rsidR="00577723">
        <w:t xml:space="preserve">je ovlaštena tvrtka </w:t>
      </w:r>
      <w:proofErr w:type="spellStart"/>
      <w:r w:rsidR="00C91AD4">
        <w:t>G</w:t>
      </w:r>
      <w:r w:rsidR="00026DC7">
        <w:t>eoprojekt</w:t>
      </w:r>
      <w:proofErr w:type="spellEnd"/>
      <w:r w:rsidR="00026DC7">
        <w:t xml:space="preserve"> </w:t>
      </w:r>
      <w:r w:rsidR="00255066">
        <w:t xml:space="preserve">d.o.o. iz </w:t>
      </w:r>
      <w:r w:rsidR="00C91AD4">
        <w:t>Splita</w:t>
      </w:r>
      <w:r w:rsidR="00577723">
        <w:t xml:space="preserve">. </w:t>
      </w:r>
    </w:p>
    <w:p w:rsidR="00DA2961" w:rsidRDefault="00DA2961" w:rsidP="00A143AF">
      <w:r>
        <w:t>Izrađivač ID UPU ugostiteljsko trgovačke zone Makarska-Zapad 2 je</w:t>
      </w:r>
      <w:r w:rsidR="00026DC7">
        <w:t xml:space="preserve"> </w:t>
      </w:r>
      <w:proofErr w:type="spellStart"/>
      <w:r w:rsidR="00026DC7">
        <w:t>Arching</w:t>
      </w:r>
      <w:proofErr w:type="spellEnd"/>
      <w:r w:rsidR="00026DC7">
        <w:t xml:space="preserve"> studio d.o.o. iz Splita.</w:t>
      </w:r>
    </w:p>
    <w:p w:rsidR="00DA2961" w:rsidRDefault="00DA2961" w:rsidP="00A143AF">
      <w:r>
        <w:t xml:space="preserve">Izrađivač UPU ugostiteljsko turističke zone </w:t>
      </w:r>
      <w:proofErr w:type="spellStart"/>
      <w:r>
        <w:t>Biloševac</w:t>
      </w:r>
      <w:proofErr w:type="spellEnd"/>
      <w:r>
        <w:t xml:space="preserve"> 4 je</w:t>
      </w:r>
      <w:r w:rsidR="00026DC7">
        <w:t xml:space="preserve"> </w:t>
      </w:r>
      <w:proofErr w:type="spellStart"/>
      <w:r w:rsidR="00026DC7">
        <w:t>Geoprojekt</w:t>
      </w:r>
      <w:proofErr w:type="spellEnd"/>
      <w:r w:rsidR="00026DC7">
        <w:t xml:space="preserve"> d.o.o. iz Splita.</w:t>
      </w:r>
    </w:p>
    <w:p w:rsidR="000121D2" w:rsidRDefault="000121D2" w:rsidP="00A143AF"/>
    <w:p w:rsidR="006B7D28" w:rsidRPr="006B7D28" w:rsidRDefault="006B7D28" w:rsidP="00A143AF">
      <w:pPr>
        <w:rPr>
          <w:b/>
        </w:rPr>
      </w:pPr>
      <w:r w:rsidRPr="006B7D28">
        <w:rPr>
          <w:b/>
        </w:rPr>
        <w:t>VII. Izrađivač strateške studije</w:t>
      </w:r>
    </w:p>
    <w:p w:rsidR="00FB34C2" w:rsidRDefault="006B7D28" w:rsidP="00FB34C2">
      <w:r>
        <w:t xml:space="preserve">Sukladno Zakonu o zaštiti okoliša i Pravilniku o uvjetima za izdavanje suglasnosti pravnim osobama za obavljanje stručnih poslova zaštite okoliša („Narodne novine“ broj 57/10), stratešku studiju izraditi će </w:t>
      </w:r>
      <w:r w:rsidR="00DA2961">
        <w:t>tvrtka Z</w:t>
      </w:r>
      <w:r w:rsidR="00026DC7">
        <w:t>eleni servis</w:t>
      </w:r>
      <w:r w:rsidR="00893B76">
        <w:t xml:space="preserve"> d.o.o. iz Splita,</w:t>
      </w:r>
      <w:r>
        <w:t xml:space="preserve"> koja ima suglasnost Ministarstva zaštite okoliša i energetike za obavljanje stručnih poslova zašite okoliša i to poslova izrade studije o značajnom utjecaju strategije, plana i programa na okoliš</w:t>
      </w:r>
      <w:r w:rsidR="00893B76">
        <w:t xml:space="preserve"> </w:t>
      </w:r>
      <w:r w:rsidR="00FB34C2">
        <w:t>i izrada poglavlja i studija ocjene prihvatljivosti strategija, plana, programa ili zahvata za ekološku mrežu.</w:t>
      </w:r>
    </w:p>
    <w:p w:rsidR="00FB34C2" w:rsidRPr="000121D2" w:rsidRDefault="00FB34C2" w:rsidP="00A143AF"/>
    <w:p w:rsidR="00BA18D9" w:rsidRPr="000121D2" w:rsidRDefault="00BA18D9" w:rsidP="00A143AF">
      <w:pPr>
        <w:rPr>
          <w:b/>
        </w:rPr>
      </w:pPr>
      <w:r w:rsidRPr="000121D2">
        <w:rPr>
          <w:b/>
        </w:rPr>
        <w:t>V</w:t>
      </w:r>
      <w:r w:rsidR="006B7D28">
        <w:rPr>
          <w:b/>
        </w:rPr>
        <w:t>III</w:t>
      </w:r>
      <w:r w:rsidRPr="000121D2">
        <w:rPr>
          <w:b/>
        </w:rPr>
        <w:t xml:space="preserve">. </w:t>
      </w:r>
      <w:r w:rsidR="00C45254">
        <w:rPr>
          <w:b/>
        </w:rPr>
        <w:t>Stupanje na snagu i o</w:t>
      </w:r>
      <w:r w:rsidRPr="000121D2">
        <w:rPr>
          <w:b/>
        </w:rPr>
        <w:t>bjava Odluke o sadržaju Strateške studije</w:t>
      </w:r>
    </w:p>
    <w:p w:rsidR="005F04DD" w:rsidRDefault="005F04DD" w:rsidP="005F04DD">
      <w:pPr>
        <w:tabs>
          <w:tab w:val="left" w:pos="720"/>
          <w:tab w:val="center" w:pos="4536"/>
          <w:tab w:val="right" w:pos="9072"/>
        </w:tabs>
        <w:suppressAutoHyphens/>
        <w:spacing w:after="0"/>
      </w:pPr>
      <w:r w:rsidRPr="00AE1EF4">
        <w:t>Ova Odluka stupa na snagu danom donošenja, a objavit će se u „Glasniku Grada Makarske</w:t>
      </w:r>
      <w:r>
        <w:t>“ i na web stranicama Grada Makarske (</w:t>
      </w:r>
      <w:hyperlink r:id="rId8" w:history="1">
        <w:r w:rsidRPr="002B154E">
          <w:rPr>
            <w:rStyle w:val="Hiperveza"/>
          </w:rPr>
          <w:t>www.makarska.hr</w:t>
        </w:r>
      </w:hyperlink>
      <w:r>
        <w:t>).</w:t>
      </w:r>
    </w:p>
    <w:p w:rsidR="005F04DD" w:rsidRPr="00AE1EF4" w:rsidRDefault="005F04DD" w:rsidP="005F04DD">
      <w:pPr>
        <w:tabs>
          <w:tab w:val="left" w:pos="720"/>
          <w:tab w:val="center" w:pos="4536"/>
          <w:tab w:val="right" w:pos="9072"/>
        </w:tabs>
        <w:suppressAutoHyphens/>
        <w:spacing w:after="0"/>
      </w:pPr>
    </w:p>
    <w:p w:rsidR="005F04DD" w:rsidRPr="00AE1EF4" w:rsidRDefault="005F04DD" w:rsidP="005F04DD">
      <w:pPr>
        <w:spacing w:after="0"/>
        <w:rPr>
          <w:sz w:val="25"/>
          <w:szCs w:val="25"/>
        </w:rPr>
      </w:pPr>
      <w:r w:rsidRPr="00AE1EF4">
        <w:rPr>
          <w:lang w:eastAsia="zh-CN"/>
        </w:rPr>
        <w:t>Klasa</w:t>
      </w:r>
      <w:r w:rsidRPr="00AE1EF4">
        <w:rPr>
          <w:sz w:val="25"/>
          <w:szCs w:val="25"/>
        </w:rPr>
        <w:t>: 350-02/19-20/1</w:t>
      </w:r>
    </w:p>
    <w:p w:rsidR="00305B76" w:rsidRPr="000121D2" w:rsidRDefault="005F04DD" w:rsidP="005F04DD">
      <w:r w:rsidRPr="00AE1EF4">
        <w:rPr>
          <w:sz w:val="25"/>
          <w:szCs w:val="25"/>
        </w:rPr>
        <w:t>Ur.br.: 2147/01-01/4-19-</w:t>
      </w:r>
      <w:r>
        <w:rPr>
          <w:sz w:val="25"/>
          <w:szCs w:val="25"/>
        </w:rPr>
        <w:t xml:space="preserve">49                                               </w:t>
      </w:r>
      <w:r w:rsidRPr="00E63455">
        <w:rPr>
          <w:b/>
        </w:rPr>
        <w:t xml:space="preserve"> </w:t>
      </w:r>
    </w:p>
    <w:p w:rsidR="00C45254" w:rsidRDefault="00C45254" w:rsidP="006D6CFE">
      <w:r>
        <w:t>Makarska, 28. kolovoza 2019.</w:t>
      </w:r>
      <w:r w:rsidR="00BA18D9" w:rsidRPr="000121D2">
        <w:tab/>
      </w:r>
      <w:r w:rsidR="00BA18D9" w:rsidRPr="000121D2">
        <w:tab/>
      </w:r>
      <w:r w:rsidR="00BA18D9" w:rsidRPr="000121D2">
        <w:tab/>
      </w:r>
      <w:r w:rsidR="00BA18D9" w:rsidRPr="000121D2">
        <w:tab/>
      </w:r>
      <w:r w:rsidR="00BA18D9" w:rsidRPr="000121D2">
        <w:tab/>
      </w:r>
      <w:r w:rsidR="00BA18D9" w:rsidRPr="000121D2">
        <w:tab/>
      </w:r>
      <w:r>
        <w:t xml:space="preserve">                   </w:t>
      </w:r>
    </w:p>
    <w:p w:rsidR="00BA18D9" w:rsidRPr="000121D2" w:rsidRDefault="00C45254" w:rsidP="006D6CFE">
      <w:r>
        <w:t xml:space="preserve">                                                                       </w:t>
      </w:r>
      <w:r w:rsidR="00BA18D9" w:rsidRPr="000121D2">
        <w:tab/>
      </w:r>
      <w:r w:rsidR="00A344CB">
        <w:t xml:space="preserve">    </w:t>
      </w:r>
      <w:bookmarkStart w:id="1" w:name="_GoBack"/>
      <w:bookmarkEnd w:id="1"/>
      <w:r w:rsidR="00255066">
        <w:t>G</w:t>
      </w:r>
      <w:r w:rsidR="00902A27">
        <w:t>RADONAČELNIK:</w:t>
      </w:r>
    </w:p>
    <w:p w:rsidR="00BA18D9" w:rsidRPr="000121D2" w:rsidRDefault="00BA18D9" w:rsidP="006D6CFE">
      <w:r w:rsidRPr="000121D2">
        <w:tab/>
      </w:r>
      <w:r w:rsidRPr="000121D2">
        <w:tab/>
      </w:r>
      <w:r w:rsidRPr="000121D2">
        <w:tab/>
      </w:r>
      <w:r w:rsidRPr="000121D2">
        <w:tab/>
      </w:r>
      <w:r w:rsidRPr="000121D2">
        <w:tab/>
      </w:r>
      <w:r w:rsidRPr="000121D2">
        <w:tab/>
      </w:r>
      <w:r w:rsidRPr="000121D2">
        <w:tab/>
      </w:r>
      <w:r w:rsidR="00902A27">
        <w:t xml:space="preserve">  </w:t>
      </w:r>
      <w:r w:rsidR="00864DF2">
        <w:t>Jure Brkan dipl. oec.</w:t>
      </w:r>
      <w:r w:rsidRPr="000121D2">
        <w:t xml:space="preserve"> </w:t>
      </w:r>
      <w:r w:rsidR="00A344CB">
        <w:t>v.r.</w:t>
      </w:r>
    </w:p>
    <w:p w:rsidR="000121D2" w:rsidRPr="000121D2" w:rsidRDefault="000121D2"/>
    <w:sectPr w:rsidR="000121D2" w:rsidRPr="000121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43A" w:rsidRDefault="00D6043A" w:rsidP="00983D85">
      <w:pPr>
        <w:spacing w:after="0"/>
      </w:pPr>
      <w:r>
        <w:separator/>
      </w:r>
    </w:p>
  </w:endnote>
  <w:endnote w:type="continuationSeparator" w:id="0">
    <w:p w:rsidR="00D6043A" w:rsidRDefault="00D6043A" w:rsidP="00983D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70656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83D85" w:rsidRPr="00983D85" w:rsidRDefault="00983D85">
        <w:pPr>
          <w:pStyle w:val="Podnoje"/>
          <w:jc w:val="right"/>
          <w:rPr>
            <w:sz w:val="20"/>
          </w:rPr>
        </w:pPr>
        <w:r w:rsidRPr="00983D85">
          <w:rPr>
            <w:sz w:val="20"/>
          </w:rPr>
          <w:fldChar w:fldCharType="begin"/>
        </w:r>
        <w:r w:rsidRPr="00983D85">
          <w:rPr>
            <w:sz w:val="20"/>
          </w:rPr>
          <w:instrText>PAGE   \* MERGEFORMAT</w:instrText>
        </w:r>
        <w:r w:rsidRPr="00983D85">
          <w:rPr>
            <w:sz w:val="20"/>
          </w:rPr>
          <w:fldChar w:fldCharType="separate"/>
        </w:r>
        <w:r w:rsidR="00CA5362">
          <w:rPr>
            <w:noProof/>
            <w:sz w:val="20"/>
          </w:rPr>
          <w:t>7</w:t>
        </w:r>
        <w:r w:rsidRPr="00983D85">
          <w:rPr>
            <w:sz w:val="20"/>
          </w:rPr>
          <w:fldChar w:fldCharType="end"/>
        </w:r>
      </w:p>
    </w:sdtContent>
  </w:sdt>
  <w:p w:rsidR="00983D85" w:rsidRDefault="00983D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43A" w:rsidRDefault="00D6043A" w:rsidP="00983D85">
      <w:pPr>
        <w:spacing w:after="0"/>
      </w:pPr>
      <w:r>
        <w:separator/>
      </w:r>
    </w:p>
  </w:footnote>
  <w:footnote w:type="continuationSeparator" w:id="0">
    <w:p w:rsidR="00D6043A" w:rsidRDefault="00D6043A" w:rsidP="00983D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090"/>
    <w:multiLevelType w:val="hybridMultilevel"/>
    <w:tmpl w:val="A666208A"/>
    <w:lvl w:ilvl="0" w:tplc="F45AE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A0F"/>
    <w:multiLevelType w:val="hybridMultilevel"/>
    <w:tmpl w:val="88ACA0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63F7"/>
    <w:multiLevelType w:val="hybridMultilevel"/>
    <w:tmpl w:val="5712DF06"/>
    <w:lvl w:ilvl="0" w:tplc="77C08CBA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8141E3F"/>
    <w:multiLevelType w:val="hybridMultilevel"/>
    <w:tmpl w:val="121E4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2703"/>
    <w:multiLevelType w:val="hybridMultilevel"/>
    <w:tmpl w:val="918C3DAC"/>
    <w:lvl w:ilvl="0" w:tplc="D13EF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797B"/>
    <w:multiLevelType w:val="hybridMultilevel"/>
    <w:tmpl w:val="2E88852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0D3F"/>
    <w:multiLevelType w:val="hybridMultilevel"/>
    <w:tmpl w:val="7E5C2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05E77"/>
    <w:multiLevelType w:val="hybridMultilevel"/>
    <w:tmpl w:val="A462F15A"/>
    <w:lvl w:ilvl="0" w:tplc="AE847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0338"/>
    <w:multiLevelType w:val="hybridMultilevel"/>
    <w:tmpl w:val="4DC4D11E"/>
    <w:lvl w:ilvl="0" w:tplc="F45AE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F596F"/>
    <w:multiLevelType w:val="hybridMultilevel"/>
    <w:tmpl w:val="BCD0FCF6"/>
    <w:lvl w:ilvl="0" w:tplc="671AB7E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A7622"/>
    <w:multiLevelType w:val="hybridMultilevel"/>
    <w:tmpl w:val="85FCB9C8"/>
    <w:lvl w:ilvl="0" w:tplc="77C08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3FF5"/>
    <w:multiLevelType w:val="hybridMultilevel"/>
    <w:tmpl w:val="AFA6EEFE"/>
    <w:lvl w:ilvl="0" w:tplc="77C08CBA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2C3D593A"/>
    <w:multiLevelType w:val="hybridMultilevel"/>
    <w:tmpl w:val="8E6418E2"/>
    <w:lvl w:ilvl="0" w:tplc="087601D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05B5F"/>
    <w:multiLevelType w:val="hybridMultilevel"/>
    <w:tmpl w:val="07B85BF4"/>
    <w:lvl w:ilvl="0" w:tplc="F45AE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5D38"/>
    <w:multiLevelType w:val="hybridMultilevel"/>
    <w:tmpl w:val="5220F678"/>
    <w:lvl w:ilvl="0" w:tplc="9C18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383"/>
    <w:multiLevelType w:val="hybridMultilevel"/>
    <w:tmpl w:val="EBBE9A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1FE3"/>
    <w:multiLevelType w:val="hybridMultilevel"/>
    <w:tmpl w:val="0002CC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8BC"/>
    <w:multiLevelType w:val="hybridMultilevel"/>
    <w:tmpl w:val="1B9A623A"/>
    <w:lvl w:ilvl="0" w:tplc="33828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3EF2"/>
    <w:multiLevelType w:val="hybridMultilevel"/>
    <w:tmpl w:val="1F681D86"/>
    <w:lvl w:ilvl="0" w:tplc="77C08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4029"/>
    <w:multiLevelType w:val="hybridMultilevel"/>
    <w:tmpl w:val="76C4AEE8"/>
    <w:lvl w:ilvl="0" w:tplc="0EE81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5616"/>
    <w:multiLevelType w:val="hybridMultilevel"/>
    <w:tmpl w:val="3E26BDEC"/>
    <w:lvl w:ilvl="0" w:tplc="4D529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82ECF"/>
    <w:multiLevelType w:val="hybridMultilevel"/>
    <w:tmpl w:val="960AA3C8"/>
    <w:lvl w:ilvl="0" w:tplc="13002FDC">
      <w:numFmt w:val="bullet"/>
      <w:lvlText w:val="–"/>
      <w:lvlJc w:val="left"/>
      <w:pPr>
        <w:ind w:left="1023" w:hanging="61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2431A54"/>
    <w:multiLevelType w:val="hybridMultilevel"/>
    <w:tmpl w:val="1970588A"/>
    <w:lvl w:ilvl="0" w:tplc="F01A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4605C"/>
    <w:multiLevelType w:val="hybridMultilevel"/>
    <w:tmpl w:val="D1FC3010"/>
    <w:lvl w:ilvl="0" w:tplc="D0C81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30D5A"/>
    <w:multiLevelType w:val="multilevel"/>
    <w:tmpl w:val="B5DC2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C80AB6"/>
    <w:multiLevelType w:val="hybridMultilevel"/>
    <w:tmpl w:val="515A7E08"/>
    <w:lvl w:ilvl="0" w:tplc="1BF606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12416"/>
    <w:multiLevelType w:val="hybridMultilevel"/>
    <w:tmpl w:val="39302ECC"/>
    <w:lvl w:ilvl="0" w:tplc="BDCCBE6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D7135"/>
    <w:multiLevelType w:val="hybridMultilevel"/>
    <w:tmpl w:val="BB80B390"/>
    <w:lvl w:ilvl="0" w:tplc="77C08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45023"/>
    <w:multiLevelType w:val="hybridMultilevel"/>
    <w:tmpl w:val="2DD0104A"/>
    <w:lvl w:ilvl="0" w:tplc="77C08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02462"/>
    <w:multiLevelType w:val="hybridMultilevel"/>
    <w:tmpl w:val="436AA204"/>
    <w:lvl w:ilvl="0" w:tplc="3BF8075A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044D1"/>
    <w:multiLevelType w:val="hybridMultilevel"/>
    <w:tmpl w:val="6E2A9C14"/>
    <w:lvl w:ilvl="0" w:tplc="F45AE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45FA5"/>
    <w:multiLevelType w:val="hybridMultilevel"/>
    <w:tmpl w:val="29DA00B8"/>
    <w:lvl w:ilvl="0" w:tplc="F45AE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F4732"/>
    <w:multiLevelType w:val="hybridMultilevel"/>
    <w:tmpl w:val="7958BA12"/>
    <w:lvl w:ilvl="0" w:tplc="2522D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E755D"/>
    <w:multiLevelType w:val="hybridMultilevel"/>
    <w:tmpl w:val="889C5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4099A"/>
    <w:multiLevelType w:val="hybridMultilevel"/>
    <w:tmpl w:val="D9B2413A"/>
    <w:lvl w:ilvl="0" w:tplc="45BA8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541D4"/>
    <w:multiLevelType w:val="hybridMultilevel"/>
    <w:tmpl w:val="C0E8F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9583F"/>
    <w:multiLevelType w:val="hybridMultilevel"/>
    <w:tmpl w:val="4B28BBF4"/>
    <w:lvl w:ilvl="0" w:tplc="DB0CE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C202E"/>
    <w:multiLevelType w:val="hybridMultilevel"/>
    <w:tmpl w:val="9C2007CC"/>
    <w:lvl w:ilvl="0" w:tplc="1E3C3A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6"/>
  </w:num>
  <w:num w:numId="4">
    <w:abstractNumId w:val="5"/>
  </w:num>
  <w:num w:numId="5">
    <w:abstractNumId w:val="25"/>
  </w:num>
  <w:num w:numId="6">
    <w:abstractNumId w:val="24"/>
  </w:num>
  <w:num w:numId="7">
    <w:abstractNumId w:val="2"/>
  </w:num>
  <w:num w:numId="8">
    <w:abstractNumId w:val="11"/>
  </w:num>
  <w:num w:numId="9">
    <w:abstractNumId w:val="21"/>
  </w:num>
  <w:num w:numId="10">
    <w:abstractNumId w:val="15"/>
  </w:num>
  <w:num w:numId="11">
    <w:abstractNumId w:val="28"/>
  </w:num>
  <w:num w:numId="12">
    <w:abstractNumId w:val="12"/>
  </w:num>
  <w:num w:numId="13">
    <w:abstractNumId w:val="27"/>
  </w:num>
  <w:num w:numId="14">
    <w:abstractNumId w:val="9"/>
  </w:num>
  <w:num w:numId="15">
    <w:abstractNumId w:val="10"/>
  </w:num>
  <w:num w:numId="16">
    <w:abstractNumId w:val="29"/>
  </w:num>
  <w:num w:numId="17">
    <w:abstractNumId w:val="18"/>
  </w:num>
  <w:num w:numId="18">
    <w:abstractNumId w:val="26"/>
  </w:num>
  <w:num w:numId="19">
    <w:abstractNumId w:val="33"/>
  </w:num>
  <w:num w:numId="20">
    <w:abstractNumId w:val="0"/>
  </w:num>
  <w:num w:numId="21">
    <w:abstractNumId w:val="30"/>
  </w:num>
  <w:num w:numId="22">
    <w:abstractNumId w:val="3"/>
  </w:num>
  <w:num w:numId="23">
    <w:abstractNumId w:val="13"/>
  </w:num>
  <w:num w:numId="24">
    <w:abstractNumId w:val="31"/>
  </w:num>
  <w:num w:numId="25">
    <w:abstractNumId w:val="16"/>
  </w:num>
  <w:num w:numId="26">
    <w:abstractNumId w:val="8"/>
  </w:num>
  <w:num w:numId="27">
    <w:abstractNumId w:val="35"/>
  </w:num>
  <w:num w:numId="28">
    <w:abstractNumId w:val="1"/>
  </w:num>
  <w:num w:numId="29">
    <w:abstractNumId w:val="23"/>
  </w:num>
  <w:num w:numId="30">
    <w:abstractNumId w:val="14"/>
  </w:num>
  <w:num w:numId="31">
    <w:abstractNumId w:val="4"/>
  </w:num>
  <w:num w:numId="32">
    <w:abstractNumId w:val="17"/>
  </w:num>
  <w:num w:numId="33">
    <w:abstractNumId w:val="34"/>
  </w:num>
  <w:num w:numId="34">
    <w:abstractNumId w:val="22"/>
  </w:num>
  <w:num w:numId="35">
    <w:abstractNumId w:val="20"/>
  </w:num>
  <w:num w:numId="36">
    <w:abstractNumId w:val="37"/>
  </w:num>
  <w:num w:numId="37">
    <w:abstractNumId w:val="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E9A"/>
    <w:rsid w:val="00005D4C"/>
    <w:rsid w:val="000121D2"/>
    <w:rsid w:val="000221BD"/>
    <w:rsid w:val="00026DC7"/>
    <w:rsid w:val="000367F1"/>
    <w:rsid w:val="00060E0B"/>
    <w:rsid w:val="000652BC"/>
    <w:rsid w:val="000964E5"/>
    <w:rsid w:val="000A532D"/>
    <w:rsid w:val="000A5F40"/>
    <w:rsid w:val="000E3AA8"/>
    <w:rsid w:val="00102623"/>
    <w:rsid w:val="00131BA3"/>
    <w:rsid w:val="001459A0"/>
    <w:rsid w:val="001531C1"/>
    <w:rsid w:val="00185AE3"/>
    <w:rsid w:val="001E5567"/>
    <w:rsid w:val="0021082C"/>
    <w:rsid w:val="00213AC8"/>
    <w:rsid w:val="002260FF"/>
    <w:rsid w:val="00255066"/>
    <w:rsid w:val="00295026"/>
    <w:rsid w:val="002D41ED"/>
    <w:rsid w:val="00305B76"/>
    <w:rsid w:val="003408FC"/>
    <w:rsid w:val="00341AD0"/>
    <w:rsid w:val="003704A1"/>
    <w:rsid w:val="00383F19"/>
    <w:rsid w:val="00416B3F"/>
    <w:rsid w:val="00420958"/>
    <w:rsid w:val="0043288A"/>
    <w:rsid w:val="00462750"/>
    <w:rsid w:val="004768A2"/>
    <w:rsid w:val="00514596"/>
    <w:rsid w:val="00532D62"/>
    <w:rsid w:val="00577723"/>
    <w:rsid w:val="005A762B"/>
    <w:rsid w:val="005C7B0B"/>
    <w:rsid w:val="005F04DD"/>
    <w:rsid w:val="006006BF"/>
    <w:rsid w:val="0060625A"/>
    <w:rsid w:val="006064CA"/>
    <w:rsid w:val="00640FDF"/>
    <w:rsid w:val="006921BE"/>
    <w:rsid w:val="006A58A2"/>
    <w:rsid w:val="006B7D28"/>
    <w:rsid w:val="006D6CFE"/>
    <w:rsid w:val="007014FB"/>
    <w:rsid w:val="00733090"/>
    <w:rsid w:val="007550B4"/>
    <w:rsid w:val="00755547"/>
    <w:rsid w:val="00765115"/>
    <w:rsid w:val="0078265C"/>
    <w:rsid w:val="00833F99"/>
    <w:rsid w:val="00864DF2"/>
    <w:rsid w:val="0087083B"/>
    <w:rsid w:val="0087550D"/>
    <w:rsid w:val="00875DEC"/>
    <w:rsid w:val="00893B76"/>
    <w:rsid w:val="00897134"/>
    <w:rsid w:val="008B5AD8"/>
    <w:rsid w:val="008B6E55"/>
    <w:rsid w:val="008F3A11"/>
    <w:rsid w:val="00902A27"/>
    <w:rsid w:val="009209B7"/>
    <w:rsid w:val="00926D7D"/>
    <w:rsid w:val="00967088"/>
    <w:rsid w:val="00983D85"/>
    <w:rsid w:val="009A25A4"/>
    <w:rsid w:val="009A6350"/>
    <w:rsid w:val="009B370D"/>
    <w:rsid w:val="009E58C0"/>
    <w:rsid w:val="00A143AF"/>
    <w:rsid w:val="00A206F8"/>
    <w:rsid w:val="00A344CB"/>
    <w:rsid w:val="00A452E5"/>
    <w:rsid w:val="00A465EC"/>
    <w:rsid w:val="00A84492"/>
    <w:rsid w:val="00B15D46"/>
    <w:rsid w:val="00B276FE"/>
    <w:rsid w:val="00B3688E"/>
    <w:rsid w:val="00B7192F"/>
    <w:rsid w:val="00B808A0"/>
    <w:rsid w:val="00B8310D"/>
    <w:rsid w:val="00B910D5"/>
    <w:rsid w:val="00BA18D9"/>
    <w:rsid w:val="00BD1B68"/>
    <w:rsid w:val="00BD4F5D"/>
    <w:rsid w:val="00BF003A"/>
    <w:rsid w:val="00C11814"/>
    <w:rsid w:val="00C135F2"/>
    <w:rsid w:val="00C2644C"/>
    <w:rsid w:val="00C45254"/>
    <w:rsid w:val="00C91AD4"/>
    <w:rsid w:val="00C9453B"/>
    <w:rsid w:val="00CA5362"/>
    <w:rsid w:val="00CA74F4"/>
    <w:rsid w:val="00D46011"/>
    <w:rsid w:val="00D6043A"/>
    <w:rsid w:val="00DA2961"/>
    <w:rsid w:val="00DD52E6"/>
    <w:rsid w:val="00DE57AC"/>
    <w:rsid w:val="00E20488"/>
    <w:rsid w:val="00E20A1B"/>
    <w:rsid w:val="00E56D4C"/>
    <w:rsid w:val="00EA0176"/>
    <w:rsid w:val="00EA41FF"/>
    <w:rsid w:val="00EA5E9A"/>
    <w:rsid w:val="00EF0D3A"/>
    <w:rsid w:val="00F2576B"/>
    <w:rsid w:val="00F3564A"/>
    <w:rsid w:val="00F47C59"/>
    <w:rsid w:val="00F715CF"/>
    <w:rsid w:val="00F83F09"/>
    <w:rsid w:val="00FB34C2"/>
    <w:rsid w:val="00FB7C6D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3906"/>
  <w15:docId w15:val="{5BD749FF-9A02-4B8F-9A67-8FE8D907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E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A18D9"/>
    <w:rPr>
      <w:color w:val="0000FF" w:themeColor="hyperlink"/>
      <w:u w:val="single"/>
    </w:rPr>
  </w:style>
  <w:style w:type="paragraph" w:customStyle="1" w:styleId="box453349">
    <w:name w:val="box_453349"/>
    <w:basedOn w:val="Normal"/>
    <w:rsid w:val="00F47C59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83D8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83D85"/>
  </w:style>
  <w:style w:type="paragraph" w:styleId="Podnoje">
    <w:name w:val="footer"/>
    <w:basedOn w:val="Normal"/>
    <w:link w:val="PodnojeChar"/>
    <w:uiPriority w:val="99"/>
    <w:unhideWhenUsed/>
    <w:rsid w:val="00983D8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983D85"/>
  </w:style>
  <w:style w:type="paragraph" w:customStyle="1" w:styleId="Normal1">
    <w:name w:val="Normal1"/>
    <w:rsid w:val="00C91AD4"/>
    <w:pPr>
      <w:suppressAutoHyphens/>
      <w:autoSpaceDE w:val="0"/>
      <w:spacing w:after="0"/>
    </w:pPr>
    <w:rPr>
      <w:rFonts w:eastAsia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ars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8618-BE5A-4FB8-8E80-6436489F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</dc:creator>
  <cp:keywords/>
  <dc:description/>
  <cp:lastModifiedBy>tvukovic</cp:lastModifiedBy>
  <cp:revision>5</cp:revision>
  <cp:lastPrinted>2018-04-18T12:01:00Z</cp:lastPrinted>
  <dcterms:created xsi:type="dcterms:W3CDTF">2019-09-17T11:04:00Z</dcterms:created>
  <dcterms:modified xsi:type="dcterms:W3CDTF">2019-09-18T08:49:00Z</dcterms:modified>
</cp:coreProperties>
</file>